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33" w:rsidRDefault="00065272">
      <w:pPr>
        <w:spacing w:before="85"/>
        <w:ind w:left="2489" w:right="2627"/>
        <w:jc w:val="center"/>
        <w:rPr>
          <w:sz w:val="36"/>
        </w:rPr>
      </w:pPr>
      <w:r>
        <w:rPr>
          <w:color w:val="000099"/>
          <w:sz w:val="36"/>
        </w:rPr>
        <w:t>COLLEGE OF MICRONESIA-FSM</w:t>
      </w:r>
    </w:p>
    <w:p w:rsidR="00604733" w:rsidRDefault="00065272">
      <w:pPr>
        <w:tabs>
          <w:tab w:val="left" w:pos="2438"/>
          <w:tab w:val="left" w:pos="10393"/>
        </w:tabs>
        <w:spacing w:before="110"/>
        <w:ind w:left="111"/>
        <w:rPr>
          <w:sz w:val="52"/>
        </w:rPr>
      </w:pPr>
      <w:r>
        <w:rPr>
          <w:w w:val="99"/>
          <w:sz w:val="52"/>
          <w:u w:val="thick" w:color="000099"/>
        </w:rPr>
        <w:t xml:space="preserve"> </w:t>
      </w:r>
      <w:r>
        <w:rPr>
          <w:sz w:val="52"/>
          <w:u w:val="thick" w:color="000099"/>
        </w:rPr>
        <w:tab/>
        <w:t>BOARD POLICY No.</w:t>
      </w:r>
      <w:r>
        <w:rPr>
          <w:spacing w:val="-11"/>
          <w:sz w:val="52"/>
          <w:u w:val="thick" w:color="000099"/>
        </w:rPr>
        <w:t xml:space="preserve"> </w:t>
      </w:r>
      <w:r>
        <w:rPr>
          <w:sz w:val="52"/>
          <w:u w:val="thick" w:color="000099"/>
        </w:rPr>
        <w:t>7007</w:t>
      </w:r>
      <w:r>
        <w:rPr>
          <w:sz w:val="52"/>
          <w:u w:val="thick" w:color="000099"/>
        </w:rPr>
        <w:tab/>
      </w:r>
    </w:p>
    <w:p w:rsidR="00604733" w:rsidRDefault="00604733">
      <w:pPr>
        <w:pStyle w:val="BodyText"/>
        <w:rPr>
          <w:sz w:val="20"/>
        </w:rPr>
      </w:pPr>
    </w:p>
    <w:p w:rsidR="00604733" w:rsidRDefault="00604733">
      <w:pPr>
        <w:pStyle w:val="BodyText"/>
        <w:spacing w:before="2"/>
        <w:rPr>
          <w:sz w:val="19"/>
        </w:rPr>
      </w:pPr>
    </w:p>
    <w:p w:rsidR="00604733" w:rsidRDefault="00065272">
      <w:pPr>
        <w:spacing w:before="106"/>
        <w:ind w:left="428"/>
        <w:rPr>
          <w:b/>
          <w:sz w:val="31"/>
        </w:rPr>
      </w:pPr>
      <w:r>
        <w:rPr>
          <w:b/>
          <w:sz w:val="31"/>
        </w:rPr>
        <w:t xml:space="preserve">College of Micronesia-FSM, </w:t>
      </w:r>
      <w:bookmarkStart w:id="0" w:name="_GoBack"/>
      <w:r>
        <w:rPr>
          <w:b/>
          <w:sz w:val="31"/>
        </w:rPr>
        <w:t>FSM-China Friendship Sports Center</w:t>
      </w:r>
      <w:bookmarkEnd w:id="0"/>
    </w:p>
    <w:p w:rsidR="00604733" w:rsidRDefault="00065272" w:rsidP="00DE7615">
      <w:pPr>
        <w:pStyle w:val="BodyText"/>
        <w:tabs>
          <w:tab w:val="left" w:pos="2588"/>
        </w:tabs>
        <w:spacing w:before="273" w:line="456" w:lineRule="auto"/>
        <w:ind w:left="432" w:right="5328"/>
      </w:pPr>
      <w:r>
        <w:t>Date</w:t>
      </w:r>
      <w:r>
        <w:rPr>
          <w:spacing w:val="-1"/>
        </w:rPr>
        <w:t xml:space="preserve"> </w:t>
      </w:r>
      <w:r>
        <w:t>Adopted:</w:t>
      </w:r>
      <w:r>
        <w:tab/>
        <w:t xml:space="preserve">21 June </w:t>
      </w:r>
      <w:r>
        <w:rPr>
          <w:spacing w:val="-4"/>
        </w:rPr>
        <w:t xml:space="preserve">2005 </w:t>
      </w:r>
      <w:r>
        <w:t>Date</w:t>
      </w:r>
      <w:r>
        <w:rPr>
          <w:spacing w:val="-1"/>
        </w:rPr>
        <w:t xml:space="preserve"> </w:t>
      </w:r>
      <w:r>
        <w:t>Revised:</w:t>
      </w:r>
      <w:r w:rsidR="00DE7615">
        <w:tab/>
      </w:r>
      <w:r w:rsidR="005B7AFE">
        <w:rPr>
          <w:color w:val="0070C0"/>
        </w:rPr>
        <w:t>4-5</w:t>
      </w:r>
      <w:r w:rsidR="00DE7615" w:rsidRPr="009A1A58">
        <w:rPr>
          <w:color w:val="0070C0"/>
        </w:rPr>
        <w:t xml:space="preserve"> December 2025</w:t>
      </w:r>
    </w:p>
    <w:p w:rsidR="00DE7615" w:rsidRDefault="00065272" w:rsidP="00DE7615">
      <w:pPr>
        <w:pStyle w:val="BodyText"/>
        <w:tabs>
          <w:tab w:val="left" w:pos="2588"/>
        </w:tabs>
        <w:spacing w:line="449" w:lineRule="auto"/>
        <w:ind w:left="432" w:right="3888"/>
        <w:rPr>
          <w:color w:val="0070C0"/>
        </w:rPr>
      </w:pPr>
      <w:r>
        <w:t>Date</w:t>
      </w:r>
      <w:r>
        <w:rPr>
          <w:spacing w:val="-1"/>
        </w:rPr>
        <w:t xml:space="preserve"> </w:t>
      </w:r>
      <w:r>
        <w:t>Reviewed:</w:t>
      </w:r>
      <w:r>
        <w:tab/>
        <w:t>22-24 March 2014</w:t>
      </w:r>
      <w:r w:rsidR="00DE7615">
        <w:t xml:space="preserve">; </w:t>
      </w:r>
      <w:r>
        <w:rPr>
          <w:color w:val="0070C0"/>
        </w:rPr>
        <w:t>4-5</w:t>
      </w:r>
      <w:r w:rsidR="00DE7615" w:rsidRPr="009A1A58">
        <w:rPr>
          <w:color w:val="0070C0"/>
        </w:rPr>
        <w:t xml:space="preserve"> December 2025</w:t>
      </w:r>
    </w:p>
    <w:p w:rsidR="00604733" w:rsidRDefault="00065272">
      <w:pPr>
        <w:pStyle w:val="BodyText"/>
        <w:tabs>
          <w:tab w:val="left" w:pos="2588"/>
        </w:tabs>
        <w:spacing w:line="448" w:lineRule="auto"/>
        <w:ind w:left="428" w:right="5831"/>
      </w:pPr>
      <w:r>
        <w:t>References:</w:t>
      </w:r>
      <w:r>
        <w:tab/>
        <w:t>Gym Use Policy</w:t>
      </w:r>
      <w:r>
        <w:rPr>
          <w:spacing w:val="3"/>
        </w:rPr>
        <w:t xml:space="preserve"> </w:t>
      </w:r>
      <w:r>
        <w:rPr>
          <w:spacing w:val="-4"/>
        </w:rPr>
        <w:t>2002.</w:t>
      </w:r>
    </w:p>
    <w:p w:rsidR="00604733" w:rsidRDefault="00065272">
      <w:pPr>
        <w:pStyle w:val="BodyText"/>
        <w:spacing w:line="239" w:lineRule="exact"/>
        <w:ind w:left="2588"/>
      </w:pPr>
      <w:r>
        <w:t>Director of Maintenance memorandum dated June 21, 2005.</w:t>
      </w:r>
    </w:p>
    <w:p w:rsidR="00604733" w:rsidRDefault="00604733">
      <w:pPr>
        <w:pStyle w:val="BodyText"/>
        <w:spacing w:before="4"/>
        <w:rPr>
          <w:sz w:val="21"/>
        </w:rPr>
      </w:pPr>
    </w:p>
    <w:p w:rsidR="00604733" w:rsidRDefault="00065272">
      <w:pPr>
        <w:pStyle w:val="BodyText"/>
        <w:ind w:left="2588"/>
      </w:pPr>
      <w:r>
        <w:t>Recommendations by Director of Maintenance and Director of Student Life.</w:t>
      </w:r>
    </w:p>
    <w:p w:rsidR="00604733" w:rsidRDefault="00065272">
      <w:pPr>
        <w:spacing w:before="37"/>
        <w:ind w:left="428"/>
        <w:rPr>
          <w:b/>
          <w:sz w:val="24"/>
        </w:rPr>
      </w:pPr>
      <w:r>
        <w:rPr>
          <w:b/>
          <w:sz w:val="24"/>
        </w:rPr>
        <w:t>Purpose</w:t>
      </w:r>
    </w:p>
    <w:p w:rsidR="00604733" w:rsidRDefault="00065272" w:rsidP="00941F2B">
      <w:pPr>
        <w:pStyle w:val="BodyText"/>
        <w:spacing w:before="46" w:line="235" w:lineRule="auto"/>
        <w:ind w:left="428" w:right="1605"/>
      </w:pPr>
      <w:r>
        <w:t xml:space="preserve">To establish the policies and procedures, and </w:t>
      </w:r>
      <w:r w:rsidRPr="00DE7615">
        <w:rPr>
          <w:strike/>
        </w:rPr>
        <w:t>amend</w:t>
      </w:r>
      <w:r>
        <w:t xml:space="preserve"> the</w:t>
      </w:r>
      <w:r>
        <w:t xml:space="preserve"> fees for the use of the FSM-China Friendship Sports Center.</w:t>
      </w:r>
      <w:r w:rsidR="00941F2B">
        <w:t xml:space="preserve"> </w:t>
      </w:r>
      <w:r>
        <w:t>Th</w:t>
      </w:r>
      <w:r>
        <w:t>e fees shall be for repairs, maintenance and procurement of supplies and equipment for the facility.</w:t>
      </w:r>
    </w:p>
    <w:p w:rsidR="00604733" w:rsidRDefault="00065272">
      <w:pPr>
        <w:pStyle w:val="BodyText"/>
        <w:spacing w:before="195"/>
        <w:ind w:left="428"/>
      </w:pPr>
      <w:r>
        <w:t>Rental fees for the FSM-China Friendship Sports Center shall be as follows:</w:t>
      </w:r>
    </w:p>
    <w:p w:rsidR="00604733" w:rsidRPr="00941F2B" w:rsidRDefault="00065272">
      <w:pPr>
        <w:pStyle w:val="BodyText"/>
        <w:tabs>
          <w:tab w:val="left" w:pos="6908"/>
        </w:tabs>
        <w:spacing w:before="200"/>
        <w:ind w:left="428"/>
        <w:rPr>
          <w:strike/>
        </w:rPr>
      </w:pPr>
      <w:r w:rsidRPr="00941F2B">
        <w:rPr>
          <w:strike/>
        </w:rPr>
        <w:t>Practice Court (auditorium &amp;</w:t>
      </w:r>
      <w:r w:rsidRPr="00941F2B">
        <w:rPr>
          <w:strike/>
          <w:spacing w:val="-3"/>
        </w:rPr>
        <w:t xml:space="preserve"> </w:t>
      </w:r>
      <w:r w:rsidRPr="00941F2B">
        <w:rPr>
          <w:strike/>
        </w:rPr>
        <w:t>conference</w:t>
      </w:r>
      <w:r w:rsidRPr="00941F2B">
        <w:rPr>
          <w:strike/>
          <w:spacing w:val="-1"/>
        </w:rPr>
        <w:t xml:space="preserve"> </w:t>
      </w:r>
      <w:r w:rsidRPr="00941F2B">
        <w:rPr>
          <w:strike/>
        </w:rPr>
        <w:t>area)</w:t>
      </w:r>
      <w:r w:rsidRPr="00941F2B">
        <w:rPr>
          <w:strike/>
        </w:rPr>
        <w:tab/>
        <w:t>$500.00 per</w:t>
      </w:r>
      <w:r w:rsidRPr="00941F2B">
        <w:rPr>
          <w:strike/>
          <w:spacing w:val="-6"/>
        </w:rPr>
        <w:t xml:space="preserve"> </w:t>
      </w:r>
      <w:r w:rsidRPr="00941F2B">
        <w:rPr>
          <w:strike/>
        </w:rPr>
        <w:t>day</w:t>
      </w:r>
    </w:p>
    <w:p w:rsidR="00604733" w:rsidRPr="00941F2B" w:rsidRDefault="00065272">
      <w:pPr>
        <w:pStyle w:val="BodyText"/>
        <w:tabs>
          <w:tab w:val="left" w:pos="6908"/>
        </w:tabs>
        <w:spacing w:before="200"/>
        <w:ind w:left="428"/>
        <w:rPr>
          <w:strike/>
        </w:rPr>
      </w:pPr>
      <w:r w:rsidRPr="00941F2B">
        <w:rPr>
          <w:strike/>
        </w:rPr>
        <w:t>Competition</w:t>
      </w:r>
      <w:r w:rsidRPr="00941F2B">
        <w:rPr>
          <w:strike/>
          <w:spacing w:val="-1"/>
        </w:rPr>
        <w:t xml:space="preserve"> </w:t>
      </w:r>
      <w:r w:rsidRPr="00941F2B">
        <w:rPr>
          <w:strike/>
        </w:rPr>
        <w:t>Court</w:t>
      </w:r>
      <w:r w:rsidRPr="00941F2B">
        <w:rPr>
          <w:strike/>
        </w:rPr>
        <w:tab/>
        <w:t>$300.00 per</w:t>
      </w:r>
      <w:r w:rsidRPr="00941F2B">
        <w:rPr>
          <w:strike/>
          <w:spacing w:val="-6"/>
        </w:rPr>
        <w:t xml:space="preserve"> </w:t>
      </w:r>
      <w:r w:rsidRPr="00941F2B">
        <w:rPr>
          <w:strike/>
        </w:rPr>
        <w:t>day</w:t>
      </w:r>
    </w:p>
    <w:p w:rsidR="00604733" w:rsidRPr="00941F2B" w:rsidRDefault="00065272">
      <w:pPr>
        <w:pStyle w:val="BodyText"/>
        <w:tabs>
          <w:tab w:val="left" w:pos="6908"/>
        </w:tabs>
        <w:spacing w:before="201" w:line="417" w:lineRule="auto"/>
        <w:ind w:left="428" w:right="2126"/>
        <w:rPr>
          <w:strike/>
        </w:rPr>
      </w:pPr>
      <w:r w:rsidRPr="00941F2B">
        <w:rPr>
          <w:strike/>
        </w:rPr>
        <w:t>Practice and Competition Court</w:t>
      </w:r>
      <w:r w:rsidRPr="00941F2B">
        <w:rPr>
          <w:strike/>
          <w:spacing w:val="-3"/>
        </w:rPr>
        <w:t xml:space="preserve"> </w:t>
      </w:r>
      <w:r w:rsidRPr="00941F2B">
        <w:rPr>
          <w:strike/>
        </w:rPr>
        <w:t>combined</w:t>
      </w:r>
      <w:r w:rsidRPr="00941F2B">
        <w:rPr>
          <w:strike/>
          <w:spacing w:val="-1"/>
        </w:rPr>
        <w:t xml:space="preserve"> </w:t>
      </w:r>
      <w:r w:rsidRPr="00941F2B">
        <w:rPr>
          <w:strike/>
        </w:rPr>
        <w:t>use</w:t>
      </w:r>
      <w:r w:rsidRPr="00941F2B">
        <w:rPr>
          <w:strike/>
        </w:rPr>
        <w:tab/>
        <w:t xml:space="preserve">$800.00 per </w:t>
      </w:r>
      <w:r w:rsidRPr="00941F2B">
        <w:rPr>
          <w:strike/>
          <w:spacing w:val="-4"/>
        </w:rPr>
        <w:t xml:space="preserve">day </w:t>
      </w:r>
      <w:r w:rsidRPr="00941F2B">
        <w:rPr>
          <w:strike/>
        </w:rPr>
        <w:t>Games Administration on Competition</w:t>
      </w:r>
      <w:r w:rsidRPr="00941F2B">
        <w:rPr>
          <w:strike/>
          <w:spacing w:val="-2"/>
        </w:rPr>
        <w:t xml:space="preserve"> </w:t>
      </w:r>
      <w:r w:rsidRPr="00941F2B">
        <w:rPr>
          <w:strike/>
        </w:rPr>
        <w:t>Court</w:t>
      </w:r>
    </w:p>
    <w:p w:rsidR="00604733" w:rsidRPr="00941F2B" w:rsidRDefault="00065272">
      <w:pPr>
        <w:pStyle w:val="BodyText"/>
        <w:tabs>
          <w:tab w:val="left" w:pos="6908"/>
        </w:tabs>
        <w:spacing w:before="1" w:line="417" w:lineRule="auto"/>
        <w:ind w:left="2588" w:right="2179"/>
        <w:jc w:val="right"/>
        <w:rPr>
          <w:strike/>
        </w:rPr>
      </w:pPr>
      <w:r w:rsidRPr="00941F2B">
        <w:rPr>
          <w:strike/>
        </w:rPr>
        <w:t>With staff and</w:t>
      </w:r>
      <w:r w:rsidRPr="00941F2B">
        <w:rPr>
          <w:strike/>
          <w:spacing w:val="-4"/>
        </w:rPr>
        <w:t xml:space="preserve"> </w:t>
      </w:r>
      <w:r w:rsidRPr="00941F2B">
        <w:rPr>
          <w:strike/>
        </w:rPr>
        <w:t>equipment</w:t>
      </w:r>
      <w:r w:rsidRPr="00941F2B">
        <w:rPr>
          <w:strike/>
          <w:spacing w:val="-1"/>
        </w:rPr>
        <w:t xml:space="preserve"> </w:t>
      </w:r>
      <w:r w:rsidRPr="00941F2B">
        <w:rPr>
          <w:strike/>
        </w:rPr>
        <w:t>support</w:t>
      </w:r>
      <w:r w:rsidRPr="00941F2B">
        <w:rPr>
          <w:strike/>
        </w:rPr>
        <w:tab/>
        <w:t>$ 50.00</w:t>
      </w:r>
      <w:r w:rsidRPr="00941F2B">
        <w:rPr>
          <w:strike/>
          <w:spacing w:val="-4"/>
        </w:rPr>
        <w:t xml:space="preserve"> </w:t>
      </w:r>
      <w:r w:rsidRPr="00941F2B">
        <w:rPr>
          <w:strike/>
        </w:rPr>
        <w:t>per</w:t>
      </w:r>
      <w:r w:rsidRPr="00941F2B">
        <w:rPr>
          <w:strike/>
          <w:spacing w:val="-1"/>
        </w:rPr>
        <w:t xml:space="preserve"> </w:t>
      </w:r>
      <w:r w:rsidRPr="00941F2B">
        <w:rPr>
          <w:strike/>
          <w:spacing w:val="-4"/>
        </w:rPr>
        <w:t>day</w:t>
      </w:r>
      <w:r w:rsidRPr="00941F2B">
        <w:rPr>
          <w:strike/>
        </w:rPr>
        <w:t xml:space="preserve"> Without staff and</w:t>
      </w:r>
      <w:r w:rsidRPr="00941F2B">
        <w:rPr>
          <w:strike/>
          <w:spacing w:val="-4"/>
        </w:rPr>
        <w:t xml:space="preserve"> </w:t>
      </w:r>
      <w:r w:rsidRPr="00941F2B">
        <w:rPr>
          <w:strike/>
        </w:rPr>
        <w:t>equipment</w:t>
      </w:r>
      <w:r w:rsidRPr="00941F2B">
        <w:rPr>
          <w:strike/>
          <w:spacing w:val="-2"/>
        </w:rPr>
        <w:t xml:space="preserve"> </w:t>
      </w:r>
      <w:r w:rsidRPr="00941F2B">
        <w:rPr>
          <w:strike/>
        </w:rPr>
        <w:t>support</w:t>
      </w:r>
      <w:r w:rsidRPr="00941F2B">
        <w:rPr>
          <w:strike/>
        </w:rPr>
        <w:tab/>
        <w:t>$ 25.00 per</w:t>
      </w:r>
      <w:r w:rsidRPr="00941F2B">
        <w:rPr>
          <w:strike/>
          <w:spacing w:val="-4"/>
        </w:rPr>
        <w:t xml:space="preserve"> day</w:t>
      </w:r>
    </w:p>
    <w:p w:rsidR="00604733" w:rsidRPr="00941F2B" w:rsidRDefault="00065272">
      <w:pPr>
        <w:pStyle w:val="BodyText"/>
        <w:tabs>
          <w:tab w:val="left" w:pos="6479"/>
        </w:tabs>
        <w:spacing w:before="1"/>
        <w:ind w:right="2179"/>
        <w:jc w:val="right"/>
        <w:rPr>
          <w:strike/>
        </w:rPr>
      </w:pPr>
      <w:r w:rsidRPr="00941F2B">
        <w:rPr>
          <w:strike/>
        </w:rPr>
        <w:t>Table</w:t>
      </w:r>
      <w:r w:rsidRPr="00941F2B">
        <w:rPr>
          <w:strike/>
          <w:spacing w:val="-2"/>
        </w:rPr>
        <w:t xml:space="preserve"> </w:t>
      </w:r>
      <w:r w:rsidRPr="00941F2B">
        <w:rPr>
          <w:strike/>
        </w:rPr>
        <w:t>Tennis</w:t>
      </w:r>
      <w:r w:rsidRPr="00941F2B">
        <w:rPr>
          <w:strike/>
          <w:spacing w:val="-1"/>
        </w:rPr>
        <w:t xml:space="preserve"> </w:t>
      </w:r>
      <w:r w:rsidRPr="00941F2B">
        <w:rPr>
          <w:strike/>
        </w:rPr>
        <w:t>Room</w:t>
      </w:r>
      <w:r w:rsidRPr="00941F2B">
        <w:rPr>
          <w:strike/>
        </w:rPr>
        <w:tab/>
        <w:t>$ 25.00 per</w:t>
      </w:r>
      <w:r w:rsidRPr="00941F2B">
        <w:rPr>
          <w:strike/>
          <w:spacing w:val="-5"/>
        </w:rPr>
        <w:t xml:space="preserve"> </w:t>
      </w:r>
      <w:r w:rsidRPr="00941F2B">
        <w:rPr>
          <w:strike/>
        </w:rPr>
        <w:t>day</w:t>
      </w:r>
    </w:p>
    <w:p w:rsidR="00604733" w:rsidRPr="00941F2B" w:rsidRDefault="00065272">
      <w:pPr>
        <w:pStyle w:val="BodyText"/>
        <w:tabs>
          <w:tab w:val="left" w:pos="6479"/>
        </w:tabs>
        <w:spacing w:before="201"/>
        <w:ind w:right="2179"/>
        <w:jc w:val="right"/>
        <w:rPr>
          <w:strike/>
        </w:rPr>
      </w:pPr>
      <w:r w:rsidRPr="00941F2B">
        <w:rPr>
          <w:strike/>
        </w:rPr>
        <w:t>Pool Room</w:t>
      </w:r>
      <w:r w:rsidRPr="00941F2B">
        <w:rPr>
          <w:strike/>
        </w:rPr>
        <w:tab/>
        <w:t>$ 25.00 per</w:t>
      </w:r>
      <w:r w:rsidRPr="00941F2B">
        <w:rPr>
          <w:strike/>
          <w:spacing w:val="-5"/>
        </w:rPr>
        <w:t xml:space="preserve"> </w:t>
      </w:r>
      <w:r w:rsidRPr="00941F2B">
        <w:rPr>
          <w:strike/>
        </w:rPr>
        <w:t>day</w:t>
      </w:r>
    </w:p>
    <w:p w:rsidR="00941F2B" w:rsidRPr="00941F2B" w:rsidRDefault="00941F2B" w:rsidP="00941F2B">
      <w:pPr>
        <w:pStyle w:val="BodyText"/>
        <w:spacing w:before="209" w:line="235" w:lineRule="auto"/>
        <w:ind w:left="428" w:right="660"/>
        <w:rPr>
          <w:b/>
          <w:bCs/>
          <w:color w:val="0070C0"/>
        </w:rPr>
      </w:pPr>
      <w:r w:rsidRPr="00941F2B">
        <w:rPr>
          <w:b/>
          <w:bCs/>
          <w:color w:val="0070C0"/>
        </w:rPr>
        <w:t>Fees &amp; Charges</w:t>
      </w:r>
    </w:p>
    <w:tbl>
      <w:tblPr>
        <w:tblW w:w="0" w:type="auto"/>
        <w:tblInd w:w="558" w:type="dxa"/>
        <w:tblLook w:val="04A0" w:firstRow="1" w:lastRow="0" w:firstColumn="1" w:lastColumn="0" w:noHBand="0" w:noVBand="1"/>
      </w:tblPr>
      <w:tblGrid>
        <w:gridCol w:w="5742"/>
        <w:gridCol w:w="2538"/>
      </w:tblGrid>
      <w:tr w:rsidR="00941F2B" w:rsidRPr="00941F2B" w:rsidTr="00941F2B">
        <w:tc>
          <w:tcPr>
            <w:tcW w:w="5742"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Area / Service</w:t>
            </w:r>
          </w:p>
        </w:tc>
        <w:tc>
          <w:tcPr>
            <w:tcW w:w="2538"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Fee (per day)</w:t>
            </w:r>
          </w:p>
        </w:tc>
      </w:tr>
      <w:tr w:rsidR="00941F2B" w:rsidRPr="00941F2B" w:rsidTr="00941F2B">
        <w:tc>
          <w:tcPr>
            <w:tcW w:w="5742"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Practice Court / Conference Area</w:t>
            </w:r>
          </w:p>
        </w:tc>
        <w:tc>
          <w:tcPr>
            <w:tcW w:w="2538"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$1,000.00</w:t>
            </w:r>
          </w:p>
        </w:tc>
      </w:tr>
      <w:tr w:rsidR="00941F2B" w:rsidRPr="00941F2B" w:rsidTr="00941F2B">
        <w:tc>
          <w:tcPr>
            <w:tcW w:w="5742"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Competition Court</w:t>
            </w:r>
          </w:p>
        </w:tc>
        <w:tc>
          <w:tcPr>
            <w:tcW w:w="2538"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$500.00</w:t>
            </w:r>
          </w:p>
        </w:tc>
      </w:tr>
      <w:tr w:rsidR="00941F2B" w:rsidRPr="00941F2B" w:rsidTr="00941F2B">
        <w:tc>
          <w:tcPr>
            <w:tcW w:w="5742"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Practice and Competition Court combined use</w:t>
            </w:r>
          </w:p>
        </w:tc>
        <w:tc>
          <w:tcPr>
            <w:tcW w:w="2538"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$1,500.00</w:t>
            </w:r>
          </w:p>
        </w:tc>
      </w:tr>
      <w:tr w:rsidR="00941F2B" w:rsidRPr="00941F2B" w:rsidTr="00941F2B">
        <w:tc>
          <w:tcPr>
            <w:tcW w:w="5742" w:type="dxa"/>
          </w:tcPr>
          <w:p w:rsidR="00941F2B" w:rsidRPr="00941F2B" w:rsidRDefault="00941F2B" w:rsidP="00941F2B">
            <w:pPr>
              <w:pStyle w:val="BodyText"/>
              <w:spacing w:before="209" w:line="235" w:lineRule="auto"/>
              <w:ind w:left="428" w:right="660"/>
              <w:rPr>
                <w:color w:val="0070C0"/>
                <w:lang w:bidi="en-US"/>
              </w:rPr>
            </w:pPr>
            <w:r>
              <w:rPr>
                <w:color w:val="0070C0"/>
                <w:lang w:bidi="en-US"/>
              </w:rPr>
              <w:t>Table Tennis Room</w:t>
            </w:r>
          </w:p>
        </w:tc>
        <w:tc>
          <w:tcPr>
            <w:tcW w:w="2538"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$50.00</w:t>
            </w:r>
          </w:p>
        </w:tc>
      </w:tr>
      <w:tr w:rsidR="00941F2B" w:rsidRPr="00941F2B" w:rsidTr="00941F2B">
        <w:tc>
          <w:tcPr>
            <w:tcW w:w="5742" w:type="dxa"/>
          </w:tcPr>
          <w:p w:rsidR="00941F2B" w:rsidRPr="00941F2B" w:rsidRDefault="00941F2B" w:rsidP="00941F2B">
            <w:pPr>
              <w:pStyle w:val="BodyText"/>
              <w:spacing w:before="209" w:line="235" w:lineRule="auto"/>
              <w:ind w:left="428" w:right="660"/>
              <w:rPr>
                <w:color w:val="0070C0"/>
                <w:lang w:bidi="en-US"/>
              </w:rPr>
            </w:pPr>
            <w:r>
              <w:rPr>
                <w:color w:val="0070C0"/>
                <w:lang w:bidi="en-US"/>
              </w:rPr>
              <w:t>Pool Room</w:t>
            </w:r>
          </w:p>
        </w:tc>
        <w:tc>
          <w:tcPr>
            <w:tcW w:w="2538" w:type="dxa"/>
          </w:tcPr>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$50.00</w:t>
            </w:r>
          </w:p>
        </w:tc>
      </w:tr>
    </w:tbl>
    <w:p w:rsidR="00941F2B" w:rsidRPr="00941F2B" w:rsidRDefault="00941F2B" w:rsidP="00941F2B">
      <w:pPr>
        <w:pStyle w:val="BodyText"/>
        <w:spacing w:before="209" w:line="235" w:lineRule="auto"/>
        <w:ind w:left="428" w:right="660"/>
        <w:rPr>
          <w:color w:val="0070C0"/>
          <w:lang w:bidi="en-US"/>
        </w:rPr>
      </w:pPr>
      <w:r w:rsidRPr="00941F2B">
        <w:rPr>
          <w:color w:val="0070C0"/>
          <w:lang w:bidi="en-US"/>
        </w:rPr>
        <w:t xml:space="preserve"> </w:t>
      </w:r>
    </w:p>
    <w:p w:rsidR="00941F2B" w:rsidRDefault="00941F2B">
      <w:pPr>
        <w:pStyle w:val="BodyText"/>
        <w:spacing w:before="209" w:line="235" w:lineRule="auto"/>
        <w:ind w:left="428" w:right="660"/>
      </w:pPr>
    </w:p>
    <w:p w:rsidR="00941F2B" w:rsidRDefault="00941F2B">
      <w:pPr>
        <w:pStyle w:val="BodyText"/>
        <w:spacing w:before="209" w:line="235" w:lineRule="auto"/>
        <w:ind w:left="428" w:right="660"/>
      </w:pPr>
    </w:p>
    <w:p w:rsidR="00604733" w:rsidRDefault="00065272">
      <w:pPr>
        <w:pStyle w:val="BodyText"/>
        <w:spacing w:before="209" w:line="235" w:lineRule="auto"/>
        <w:ind w:left="428" w:right="660"/>
      </w:pPr>
      <w:r>
        <w:lastRenderedPageBreak/>
        <w:t>The fees above include assisting in setting-up, use of available equipment, furniture, and daily interior cleaning.</w:t>
      </w:r>
    </w:p>
    <w:p w:rsidR="00604733" w:rsidRPr="00941F2B" w:rsidRDefault="00065272">
      <w:pPr>
        <w:pStyle w:val="BodyText"/>
        <w:spacing w:before="210" w:line="235" w:lineRule="auto"/>
        <w:ind w:left="428" w:right="1411"/>
        <w:rPr>
          <w:strike/>
        </w:rPr>
      </w:pPr>
      <w:r w:rsidRPr="00941F2B">
        <w:rPr>
          <w:strike/>
        </w:rPr>
        <w:t xml:space="preserve">F.S.M., State and Municipal governments, and the Republic of China may be eligible for 50% discount upon approval </w:t>
      </w:r>
      <w:r w:rsidRPr="00941F2B">
        <w:rPr>
          <w:strike/>
        </w:rPr>
        <w:t>by the COM-FSM President.</w:t>
      </w:r>
    </w:p>
    <w:p w:rsidR="00604733" w:rsidRDefault="00604733">
      <w:pPr>
        <w:pStyle w:val="BodyText"/>
        <w:rPr>
          <w:sz w:val="26"/>
        </w:rPr>
      </w:pPr>
    </w:p>
    <w:p w:rsidR="00941F2B" w:rsidRPr="00941F2B" w:rsidRDefault="00941F2B" w:rsidP="00941F2B">
      <w:pPr>
        <w:keepNext/>
        <w:keepLines/>
        <w:widowControl/>
        <w:autoSpaceDE/>
        <w:autoSpaceDN/>
        <w:spacing w:before="200" w:line="360" w:lineRule="auto"/>
        <w:ind w:left="450"/>
        <w:outlineLvl w:val="1"/>
        <w:rPr>
          <w:rFonts w:eastAsiaTheme="majorEastAsia" w:cstheme="majorBidi"/>
          <w:b/>
          <w:bCs/>
          <w:color w:val="0070C0"/>
          <w:sz w:val="24"/>
          <w:szCs w:val="24"/>
        </w:rPr>
      </w:pPr>
      <w:r w:rsidRPr="00941F2B">
        <w:rPr>
          <w:rFonts w:eastAsiaTheme="majorEastAsia" w:cstheme="majorBidi"/>
          <w:b/>
          <w:bCs/>
          <w:color w:val="0070C0"/>
          <w:sz w:val="24"/>
          <w:szCs w:val="24"/>
        </w:rPr>
        <w:t>Compliance</w:t>
      </w:r>
    </w:p>
    <w:p w:rsidR="00941F2B" w:rsidRPr="00941F2B" w:rsidRDefault="00941F2B" w:rsidP="00941F2B">
      <w:pPr>
        <w:spacing w:line="360" w:lineRule="auto"/>
        <w:ind w:left="450"/>
        <w:rPr>
          <w:color w:val="0070C0"/>
          <w:sz w:val="24"/>
          <w:szCs w:val="24"/>
          <w:lang w:bidi="en-US"/>
        </w:rPr>
      </w:pPr>
      <w:r w:rsidRPr="00941F2B">
        <w:rPr>
          <w:color w:val="0070C0"/>
          <w:sz w:val="24"/>
          <w:szCs w:val="24"/>
          <w:lang w:bidi="en-US"/>
        </w:rPr>
        <w:t>Users must comply with all COM-FSM regulations, including safety, health, and environmental standards. Violations may result in cancellation of events or loss of future privileges.</w:t>
      </w:r>
    </w:p>
    <w:p w:rsidR="00941F2B" w:rsidRPr="00941F2B" w:rsidRDefault="00941F2B" w:rsidP="00941F2B">
      <w:pPr>
        <w:keepNext/>
        <w:keepLines/>
        <w:widowControl/>
        <w:autoSpaceDE/>
        <w:autoSpaceDN/>
        <w:spacing w:before="200" w:line="360" w:lineRule="auto"/>
        <w:ind w:left="450"/>
        <w:outlineLvl w:val="1"/>
        <w:rPr>
          <w:rFonts w:eastAsiaTheme="majorEastAsia" w:cstheme="majorBidi"/>
          <w:b/>
          <w:bCs/>
          <w:color w:val="0070C0"/>
          <w:sz w:val="24"/>
          <w:szCs w:val="24"/>
        </w:rPr>
      </w:pPr>
      <w:r w:rsidRPr="00941F2B">
        <w:rPr>
          <w:rFonts w:eastAsiaTheme="majorEastAsia" w:cstheme="majorBidi"/>
          <w:b/>
          <w:bCs/>
          <w:color w:val="0070C0"/>
          <w:sz w:val="24"/>
          <w:szCs w:val="24"/>
        </w:rPr>
        <w:t>Review of Fees</w:t>
      </w:r>
    </w:p>
    <w:p w:rsidR="00941F2B" w:rsidRPr="00941F2B" w:rsidRDefault="00941F2B" w:rsidP="00941F2B">
      <w:pPr>
        <w:spacing w:line="360" w:lineRule="auto"/>
        <w:ind w:left="450"/>
        <w:rPr>
          <w:color w:val="0070C0"/>
          <w:sz w:val="24"/>
          <w:szCs w:val="24"/>
          <w:lang w:bidi="en-US"/>
        </w:rPr>
      </w:pPr>
      <w:r w:rsidRPr="00941F2B">
        <w:rPr>
          <w:color w:val="0070C0"/>
          <w:sz w:val="24"/>
          <w:szCs w:val="24"/>
          <w:lang w:bidi="en-US"/>
        </w:rPr>
        <w:t>The Board of Regents shall review the rental and use fees for the FSM–China Friendship Sports Center at least every three (3) years to ensure they reflect current costs of operation and maintenance.</w:t>
      </w:r>
    </w:p>
    <w:p w:rsidR="00604733" w:rsidRDefault="00604733">
      <w:pPr>
        <w:pStyle w:val="BodyText"/>
        <w:spacing w:before="7"/>
        <w:rPr>
          <w:sz w:val="33"/>
        </w:rPr>
      </w:pPr>
    </w:p>
    <w:p w:rsidR="00604733" w:rsidRDefault="00065272">
      <w:pPr>
        <w:pStyle w:val="BodyText"/>
        <w:spacing w:before="1"/>
        <w:ind w:left="428"/>
      </w:pPr>
      <w:r>
        <w:t>See Administrative Procedure 7007</w:t>
      </w:r>
    </w:p>
    <w:p w:rsidR="00604733" w:rsidRDefault="00604733">
      <w:pPr>
        <w:pStyle w:val="BodyText"/>
        <w:rPr>
          <w:sz w:val="20"/>
        </w:rPr>
      </w:pPr>
    </w:p>
    <w:p w:rsidR="00604733" w:rsidRDefault="00604733">
      <w:pPr>
        <w:pStyle w:val="BodyText"/>
        <w:rPr>
          <w:sz w:val="20"/>
        </w:rPr>
      </w:pPr>
    </w:p>
    <w:p w:rsidR="00604733" w:rsidRDefault="00604733">
      <w:pPr>
        <w:pStyle w:val="BodyText"/>
        <w:rPr>
          <w:sz w:val="20"/>
        </w:rPr>
      </w:pPr>
    </w:p>
    <w:p w:rsidR="00604733" w:rsidRDefault="00604733">
      <w:pPr>
        <w:pStyle w:val="BodyText"/>
        <w:rPr>
          <w:sz w:val="20"/>
        </w:rPr>
      </w:pPr>
    </w:p>
    <w:p w:rsidR="00604733" w:rsidRDefault="00604733">
      <w:pPr>
        <w:pStyle w:val="BodyText"/>
        <w:rPr>
          <w:sz w:val="20"/>
        </w:rPr>
      </w:pPr>
    </w:p>
    <w:p w:rsidR="00604733" w:rsidRDefault="00604733">
      <w:pPr>
        <w:pStyle w:val="BodyText"/>
        <w:rPr>
          <w:sz w:val="20"/>
        </w:rPr>
      </w:pPr>
    </w:p>
    <w:p w:rsidR="00604733" w:rsidRDefault="00604733">
      <w:pPr>
        <w:pStyle w:val="BodyText"/>
        <w:spacing w:before="1"/>
        <w:rPr>
          <w:sz w:val="21"/>
        </w:rPr>
      </w:pPr>
    </w:p>
    <w:p w:rsidR="00604733" w:rsidRDefault="00065272">
      <w:pPr>
        <w:pStyle w:val="BodyText"/>
        <w:tabs>
          <w:tab w:val="left" w:pos="8920"/>
        </w:tabs>
        <w:ind w:left="428"/>
        <w:rPr>
          <w:sz w:val="21"/>
        </w:rPr>
      </w:pPr>
      <w:r>
        <w:t>College of Micronesia-FSM Board</w:t>
      </w:r>
      <w:r>
        <w:rPr>
          <w:spacing w:val="-5"/>
        </w:rPr>
        <w:t xml:space="preserve"> </w:t>
      </w:r>
      <w:r>
        <w:t>Policy</w:t>
      </w:r>
      <w:r>
        <w:rPr>
          <w:spacing w:val="-2"/>
        </w:rPr>
        <w:t xml:space="preserve"> </w:t>
      </w:r>
      <w:r>
        <w:t>7007</w:t>
      </w:r>
      <w:r>
        <w:tab/>
      </w:r>
      <w:r>
        <w:rPr>
          <w:sz w:val="21"/>
        </w:rPr>
        <w:t>Page 1 of</w:t>
      </w:r>
      <w:r>
        <w:rPr>
          <w:spacing w:val="17"/>
          <w:sz w:val="21"/>
        </w:rPr>
        <w:t xml:space="preserve"> </w:t>
      </w:r>
      <w:r>
        <w:rPr>
          <w:sz w:val="21"/>
        </w:rPr>
        <w:t>1</w:t>
      </w:r>
    </w:p>
    <w:sectPr w:rsidR="00604733">
      <w:type w:val="continuous"/>
      <w:pgSz w:w="12240" w:h="15840"/>
      <w:pgMar w:top="300" w:right="820" w:bottom="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33"/>
    <w:rsid w:val="00065272"/>
    <w:rsid w:val="005B7AFE"/>
    <w:rsid w:val="00604733"/>
    <w:rsid w:val="00941F2B"/>
    <w:rsid w:val="00DE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F652"/>
  <w15:docId w15:val="{7570F2DE-4B33-4C09-9BF8-2E7F545F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Young-Uhk</dc:creator>
  <cp:lastModifiedBy>Steven Young-Uhk</cp:lastModifiedBy>
  <cp:revision>2</cp:revision>
  <dcterms:created xsi:type="dcterms:W3CDTF">2025-11-28T04:56:00Z</dcterms:created>
  <dcterms:modified xsi:type="dcterms:W3CDTF">2025-11-28T04:56:00Z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d8d79774-10a8-486c-8d67-8ab4a226c175</vt:lpwstr>
  </property>
</Properties>
</file>