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7F04" w14:textId="1FDD4E20" w:rsidR="0049613F" w:rsidRDefault="0068355B">
      <w:pPr>
        <w:pStyle w:val="Heading1"/>
      </w:pPr>
      <w:r>
        <w:t>AGENDA ITEM</w:t>
      </w:r>
      <w:r w:rsidR="0003458B">
        <w:t>: 11(a</w:t>
      </w:r>
      <w:proofErr w:type="gramStart"/>
      <w:r w:rsidR="0003458B">
        <w:t>)(</w:t>
      </w:r>
      <w:proofErr w:type="spellStart"/>
      <w:proofErr w:type="gramEnd"/>
      <w:r w:rsidR="0003458B">
        <w:t>i</w:t>
      </w:r>
      <w:proofErr w:type="spellEnd"/>
      <w:r w:rsidR="0003458B">
        <w:t xml:space="preserve"> and </w:t>
      </w:r>
      <w:r w:rsidR="00DC5152">
        <w:t>ii</w:t>
      </w:r>
      <w:r w:rsidR="0003458B">
        <w:t xml:space="preserve">) and </w:t>
      </w:r>
      <w:r w:rsidR="00DC5152">
        <w:t>12(h</w:t>
      </w:r>
      <w:proofErr w:type="gramStart"/>
      <w:r w:rsidR="00DC5152">
        <w:t>)(</w:t>
      </w:r>
      <w:proofErr w:type="spellStart"/>
      <w:proofErr w:type="gramEnd"/>
      <w:r w:rsidR="00DC5152">
        <w:t>i</w:t>
      </w:r>
      <w:proofErr w:type="spellEnd"/>
      <w:r w:rsidR="00DC5152">
        <w:t xml:space="preserve"> - iv)</w:t>
      </w:r>
    </w:p>
    <w:p w14:paraId="7AF57C09" w14:textId="227A2973" w:rsidR="000D2E04" w:rsidRPr="00376DF2" w:rsidRDefault="000D2E04" w:rsidP="000D2E04">
      <w:pPr>
        <w:rPr>
          <w:u w:val="single"/>
        </w:rPr>
      </w:pPr>
      <w:r w:rsidRPr="00376DF2">
        <w:rPr>
          <w:u w:val="single"/>
        </w:rPr>
        <w:t>Chapter 6 Policies – Human Resources Policies</w:t>
      </w:r>
      <w:r w:rsidR="00376DF2" w:rsidRPr="00376DF2">
        <w:rPr>
          <w:u w:val="single"/>
        </w:rPr>
        <w:t>:</w:t>
      </w:r>
    </w:p>
    <w:p w14:paraId="07F8C5F3" w14:textId="567A86E4" w:rsidR="00681755" w:rsidRDefault="00681755" w:rsidP="000D2E04">
      <w:pPr>
        <w:spacing w:after="0" w:line="240" w:lineRule="auto"/>
        <w:ind w:left="0" w:firstLine="0"/>
      </w:pPr>
      <w:r w:rsidRPr="00681755">
        <w:t>Board Polic</w:t>
      </w:r>
      <w:r>
        <w:t xml:space="preserve">y </w:t>
      </w:r>
      <w:r w:rsidR="00FE7DD5">
        <w:t>600</w:t>
      </w:r>
      <w:r w:rsidR="000D2E04">
        <w:t>5: Positions or Classes of Positions</w:t>
      </w:r>
    </w:p>
    <w:p w14:paraId="6DCEBABD" w14:textId="1A6133F4" w:rsidR="000D5E2A" w:rsidRDefault="000D2E04" w:rsidP="000D2E04">
      <w:pPr>
        <w:spacing w:after="0" w:line="240" w:lineRule="auto"/>
        <w:ind w:left="0" w:firstLine="0"/>
      </w:pPr>
      <w:r>
        <w:t>Boa</w:t>
      </w:r>
      <w:r w:rsidR="000D5E2A" w:rsidRPr="00681755">
        <w:t>rd Polic</w:t>
      </w:r>
      <w:r w:rsidR="000D5E2A">
        <w:t xml:space="preserve">y </w:t>
      </w:r>
      <w:r w:rsidR="00FE7DD5">
        <w:t>60</w:t>
      </w:r>
      <w:r>
        <w:t>06: Kinds of Positions and Appointments</w:t>
      </w:r>
    </w:p>
    <w:p w14:paraId="2EDEDF18" w14:textId="30253962" w:rsidR="00FE7DD5" w:rsidRDefault="00FE7DD5" w:rsidP="000D2E04">
      <w:pPr>
        <w:spacing w:after="0" w:line="240" w:lineRule="auto"/>
        <w:ind w:left="0" w:firstLine="0"/>
      </w:pPr>
      <w:r w:rsidRPr="00681755">
        <w:t>Board Polic</w:t>
      </w:r>
      <w:r>
        <w:t>y 60</w:t>
      </w:r>
      <w:r w:rsidR="000D2E04">
        <w:t>08: Employment Contract</w:t>
      </w:r>
    </w:p>
    <w:p w14:paraId="7870AEBC" w14:textId="15EC5FCE" w:rsidR="000D2E04" w:rsidRDefault="00FE7DD5" w:rsidP="000D2E04">
      <w:pPr>
        <w:spacing w:after="0" w:line="240" w:lineRule="auto"/>
        <w:ind w:left="0" w:firstLine="0"/>
      </w:pPr>
      <w:r w:rsidRPr="00681755">
        <w:t>Board Polic</w:t>
      </w:r>
      <w:r>
        <w:t>y 60</w:t>
      </w:r>
      <w:r w:rsidR="000D2E04">
        <w:t>10: Leave Policies</w:t>
      </w:r>
    </w:p>
    <w:p w14:paraId="18884D8E" w14:textId="01B809CA" w:rsidR="00FE7DD5" w:rsidRDefault="00FE7DD5" w:rsidP="000D2E04">
      <w:pPr>
        <w:spacing w:after="0" w:line="240" w:lineRule="auto"/>
        <w:ind w:left="0" w:firstLine="0"/>
      </w:pPr>
      <w:r w:rsidRPr="00681755">
        <w:t>Board Polic</w:t>
      </w:r>
      <w:r>
        <w:t>y 60</w:t>
      </w:r>
      <w:r w:rsidR="000D2E04">
        <w:t>11: Optional Benefits</w:t>
      </w:r>
    </w:p>
    <w:p w14:paraId="40141016" w14:textId="549BACC6" w:rsidR="00FE7DD5" w:rsidRDefault="00FE7DD5" w:rsidP="000D2E04">
      <w:pPr>
        <w:spacing w:after="0" w:line="240" w:lineRule="auto"/>
        <w:ind w:left="0" w:firstLine="0"/>
      </w:pPr>
      <w:r w:rsidRPr="00681755">
        <w:t>Board Polic</w:t>
      </w:r>
      <w:r>
        <w:t>y 60</w:t>
      </w:r>
      <w:r w:rsidR="000D2E04">
        <w:t>14: Institutional Benefits</w:t>
      </w:r>
    </w:p>
    <w:p w14:paraId="5CB9EB1D" w14:textId="77777777" w:rsidR="0049613F" w:rsidRDefault="0049613F">
      <w:pPr>
        <w:spacing w:after="54" w:line="240" w:lineRule="auto"/>
        <w:ind w:left="0" w:firstLine="0"/>
      </w:pPr>
    </w:p>
    <w:p w14:paraId="637DB08B" w14:textId="77777777" w:rsidR="002F277E" w:rsidRPr="0061308F" w:rsidRDefault="002F277E" w:rsidP="009D0769">
      <w:pPr>
        <w:spacing w:after="32"/>
        <w:rPr>
          <w:b/>
          <w:bCs/>
        </w:rPr>
      </w:pPr>
      <w:r w:rsidRPr="0061308F">
        <w:rPr>
          <w:b/>
          <w:bCs/>
        </w:rPr>
        <w:t xml:space="preserve">RECOMMENDED DIRECTIVE:  </w:t>
      </w:r>
    </w:p>
    <w:p w14:paraId="67EAABBF" w14:textId="5F321EFE" w:rsidR="002F277E" w:rsidRDefault="00681755" w:rsidP="00DC5152">
      <w:pPr>
        <w:spacing w:after="32"/>
        <w:jc w:val="both"/>
      </w:pPr>
      <w:r w:rsidRPr="00681755">
        <w:t>The Board hereby approves the amendments to Board Polic</w:t>
      </w:r>
      <w:r w:rsidR="00FE7DD5">
        <w:t>y (BP)</w:t>
      </w:r>
      <w:r w:rsidRPr="00681755">
        <w:t xml:space="preserve"> </w:t>
      </w:r>
      <w:r w:rsidR="00FE7DD5">
        <w:t>60</w:t>
      </w:r>
      <w:r w:rsidR="00376DF2">
        <w:t>10</w:t>
      </w:r>
      <w:r w:rsidRPr="00681755">
        <w:t xml:space="preserve"> (</w:t>
      </w:r>
      <w:r w:rsidR="00376DF2">
        <w:t>Leave Policies</w:t>
      </w:r>
      <w:r>
        <w:t>)</w:t>
      </w:r>
      <w:r w:rsidR="00FE7DD5">
        <w:t xml:space="preserve">. </w:t>
      </w:r>
    </w:p>
    <w:p w14:paraId="30CBA3C4" w14:textId="77777777" w:rsidR="00FE7DD5" w:rsidRDefault="00FE7DD5" w:rsidP="00DC5152">
      <w:pPr>
        <w:spacing w:after="32"/>
        <w:jc w:val="both"/>
      </w:pPr>
    </w:p>
    <w:p w14:paraId="0F5666D4" w14:textId="0074989D" w:rsidR="00FE7DD5" w:rsidRDefault="00FE7DD5" w:rsidP="00DC5152">
      <w:pPr>
        <w:spacing w:after="32"/>
        <w:jc w:val="both"/>
      </w:pPr>
      <w:r>
        <w:t>The Board hereby approves no amendments to BP60</w:t>
      </w:r>
      <w:r w:rsidR="00376DF2">
        <w:t>05</w:t>
      </w:r>
      <w:r>
        <w:t xml:space="preserve"> (</w:t>
      </w:r>
      <w:r w:rsidR="00376DF2">
        <w:t>Positions or Classes of Positions</w:t>
      </w:r>
      <w:r>
        <w:t>)</w:t>
      </w:r>
      <w:r w:rsidR="00376DF2">
        <w:t>, BP6006 (Kinds of Positions and Appointments), BP6008 (Employment Contract), BP6011 (Optional Benefits)</w:t>
      </w:r>
      <w:r>
        <w:t xml:space="preserve"> and BP601</w:t>
      </w:r>
      <w:r w:rsidR="00376DF2">
        <w:t>4</w:t>
      </w:r>
      <w:r>
        <w:t xml:space="preserve"> (</w:t>
      </w:r>
      <w:r w:rsidR="00376DF2">
        <w:t>Institutional Benefits</w:t>
      </w:r>
      <w:r>
        <w:t>).</w:t>
      </w:r>
    </w:p>
    <w:p w14:paraId="00B39794" w14:textId="77777777" w:rsidR="00681755" w:rsidRDefault="00681755" w:rsidP="00DC5152">
      <w:pPr>
        <w:spacing w:after="32"/>
        <w:jc w:val="both"/>
      </w:pPr>
    </w:p>
    <w:p w14:paraId="04CAC3F7" w14:textId="77777777" w:rsidR="002F277E" w:rsidRPr="0061308F" w:rsidRDefault="002F277E" w:rsidP="00DC5152">
      <w:pPr>
        <w:spacing w:after="32"/>
        <w:jc w:val="both"/>
        <w:rPr>
          <w:b/>
          <w:bCs/>
        </w:rPr>
      </w:pPr>
      <w:r w:rsidRPr="0061308F">
        <w:rPr>
          <w:b/>
          <w:bCs/>
        </w:rPr>
        <w:t xml:space="preserve">DISCUSSION: </w:t>
      </w:r>
    </w:p>
    <w:p w14:paraId="71CC7AE0" w14:textId="77777777" w:rsidR="00681755" w:rsidRDefault="00681755" w:rsidP="00DC5152">
      <w:pPr>
        <w:spacing w:after="32"/>
        <w:jc w:val="both"/>
      </w:pPr>
      <w:r>
        <w:t xml:space="preserve">Policies and procedures are living documents designed to adapt to the evolving nature of an organization.  While the core principles of a policy may endure, the specific details should be adaptable and responsive to the organization’s shift.  Consequently, the </w:t>
      </w:r>
      <w:r w:rsidR="0061308F">
        <w:t>Human Resources Office (HRO)</w:t>
      </w:r>
      <w:r>
        <w:t xml:space="preserve"> consistently engages in collaboration and coordination with relevant offices and standing committees within the college to assess policies and procedures.</w:t>
      </w:r>
    </w:p>
    <w:p w14:paraId="4C92C5CA" w14:textId="77777777" w:rsidR="00681755" w:rsidRDefault="00681755" w:rsidP="00DC5152">
      <w:pPr>
        <w:spacing w:after="32"/>
        <w:jc w:val="both"/>
      </w:pPr>
    </w:p>
    <w:p w14:paraId="35BAABE0" w14:textId="2742CD1F" w:rsidR="0032455E" w:rsidRPr="00802FDA" w:rsidRDefault="00681755" w:rsidP="00DC5152">
      <w:pPr>
        <w:spacing w:after="32"/>
        <w:jc w:val="both"/>
        <w:rPr>
          <w:color w:val="FF0000"/>
        </w:rPr>
      </w:pPr>
      <w:r>
        <w:t xml:space="preserve">Following endorsements by the </w:t>
      </w:r>
      <w:r w:rsidR="00805F2C">
        <w:t xml:space="preserve">relevant standing committees, </w:t>
      </w:r>
      <w:r w:rsidR="00805F2C" w:rsidRPr="00805F2C">
        <w:t xml:space="preserve">the Executive </w:t>
      </w:r>
      <w:proofErr w:type="gramStart"/>
      <w:r w:rsidR="00805F2C" w:rsidRPr="00805F2C">
        <w:t xml:space="preserve">Committee </w:t>
      </w:r>
      <w:r w:rsidR="00376DF2">
        <w:t>was</w:t>
      </w:r>
      <w:proofErr w:type="gramEnd"/>
      <w:r w:rsidR="00376DF2">
        <w:t xml:space="preserve"> presented the following policies on November 4, </w:t>
      </w:r>
      <w:proofErr w:type="gramStart"/>
      <w:r w:rsidR="00376DF2">
        <w:t>2025</w:t>
      </w:r>
      <w:proofErr w:type="gramEnd"/>
      <w:r w:rsidR="00376DF2">
        <w:t xml:space="preserve"> for review and endorsement:</w:t>
      </w:r>
    </w:p>
    <w:p w14:paraId="556093E1" w14:textId="77777777" w:rsidR="00805F2C" w:rsidRDefault="00805F2C" w:rsidP="00805F2C">
      <w:pPr>
        <w:spacing w:after="32"/>
      </w:pPr>
    </w:p>
    <w:tbl>
      <w:tblPr>
        <w:tblStyle w:val="TableGrid"/>
        <w:tblW w:w="0" w:type="auto"/>
        <w:tblLook w:val="04A0" w:firstRow="1" w:lastRow="0" w:firstColumn="1" w:lastColumn="0" w:noHBand="0" w:noVBand="1"/>
      </w:tblPr>
      <w:tblGrid>
        <w:gridCol w:w="2664"/>
        <w:gridCol w:w="1878"/>
        <w:gridCol w:w="4703"/>
      </w:tblGrid>
      <w:tr w:rsidR="0003778D" w14:paraId="0D338CF2" w14:textId="77777777" w:rsidTr="0003778D">
        <w:tc>
          <w:tcPr>
            <w:tcW w:w="2664" w:type="dxa"/>
          </w:tcPr>
          <w:p w14:paraId="751600F7" w14:textId="77777777" w:rsidR="0003778D" w:rsidRDefault="0003778D" w:rsidP="00935F2D">
            <w:pPr>
              <w:jc w:val="center"/>
              <w:rPr>
                <w:rFonts w:ascii="Times New Roman" w:hAnsi="Times New Roman" w:cs="Times New Roman"/>
              </w:rPr>
            </w:pPr>
            <w:r>
              <w:rPr>
                <w:rFonts w:ascii="Times New Roman" w:hAnsi="Times New Roman" w:cs="Times New Roman"/>
              </w:rPr>
              <w:t>Board Policy</w:t>
            </w:r>
          </w:p>
        </w:tc>
        <w:tc>
          <w:tcPr>
            <w:tcW w:w="1878" w:type="dxa"/>
          </w:tcPr>
          <w:p w14:paraId="683008F3" w14:textId="77777777" w:rsidR="0003778D" w:rsidRDefault="0003778D" w:rsidP="00935F2D">
            <w:pPr>
              <w:jc w:val="center"/>
              <w:rPr>
                <w:rFonts w:ascii="Times New Roman" w:hAnsi="Times New Roman" w:cs="Times New Roman"/>
              </w:rPr>
            </w:pPr>
            <w:r>
              <w:rPr>
                <w:rFonts w:ascii="Times New Roman" w:hAnsi="Times New Roman" w:cs="Times New Roman"/>
              </w:rPr>
              <w:t>New, Amendments or Deletion</w:t>
            </w:r>
          </w:p>
        </w:tc>
        <w:tc>
          <w:tcPr>
            <w:tcW w:w="4703" w:type="dxa"/>
          </w:tcPr>
          <w:p w14:paraId="15D450FC" w14:textId="77777777" w:rsidR="0003778D" w:rsidRDefault="0003778D" w:rsidP="00935F2D">
            <w:pPr>
              <w:jc w:val="center"/>
              <w:rPr>
                <w:rFonts w:ascii="Times New Roman" w:hAnsi="Times New Roman" w:cs="Times New Roman"/>
              </w:rPr>
            </w:pPr>
            <w:r>
              <w:rPr>
                <w:rFonts w:ascii="Times New Roman" w:hAnsi="Times New Roman" w:cs="Times New Roman"/>
              </w:rPr>
              <w:t>Remarks</w:t>
            </w:r>
          </w:p>
        </w:tc>
      </w:tr>
      <w:tr w:rsidR="0003778D" w14:paraId="55384B9B" w14:textId="77777777" w:rsidTr="0003778D">
        <w:tc>
          <w:tcPr>
            <w:tcW w:w="2664" w:type="dxa"/>
          </w:tcPr>
          <w:p w14:paraId="0DB2D8A3" w14:textId="242A245A" w:rsidR="0003778D" w:rsidRDefault="0003778D" w:rsidP="00935F2D">
            <w:pPr>
              <w:rPr>
                <w:rFonts w:ascii="Times New Roman" w:hAnsi="Times New Roman" w:cs="Times New Roman"/>
              </w:rPr>
            </w:pPr>
            <w:r>
              <w:rPr>
                <w:rFonts w:ascii="Times New Roman" w:hAnsi="Times New Roman" w:cs="Times New Roman"/>
              </w:rPr>
              <w:t>BP</w:t>
            </w:r>
            <w:r w:rsidR="0015775F">
              <w:rPr>
                <w:rFonts w:ascii="Times New Roman" w:hAnsi="Times New Roman" w:cs="Times New Roman"/>
              </w:rPr>
              <w:t>600</w:t>
            </w:r>
            <w:r w:rsidR="00376DF2">
              <w:rPr>
                <w:rFonts w:ascii="Times New Roman" w:hAnsi="Times New Roman" w:cs="Times New Roman"/>
              </w:rPr>
              <w:t>5 – Positions or Classes of Positions</w:t>
            </w:r>
            <w:r>
              <w:rPr>
                <w:rFonts w:ascii="Times New Roman" w:hAnsi="Times New Roman" w:cs="Times New Roman"/>
              </w:rPr>
              <w:t xml:space="preserve"> </w:t>
            </w:r>
          </w:p>
        </w:tc>
        <w:tc>
          <w:tcPr>
            <w:tcW w:w="1878" w:type="dxa"/>
          </w:tcPr>
          <w:p w14:paraId="212DABF3" w14:textId="02DBC3DC" w:rsidR="0003778D" w:rsidRDefault="00376DF2" w:rsidP="00935F2D">
            <w:pPr>
              <w:rPr>
                <w:rFonts w:ascii="Times New Roman" w:hAnsi="Times New Roman" w:cs="Times New Roman"/>
              </w:rPr>
            </w:pPr>
            <w:r>
              <w:rPr>
                <w:rFonts w:ascii="Times New Roman" w:hAnsi="Times New Roman" w:cs="Times New Roman"/>
              </w:rPr>
              <w:t xml:space="preserve">No </w:t>
            </w:r>
            <w:r w:rsidR="0003778D">
              <w:rPr>
                <w:rFonts w:ascii="Times New Roman" w:hAnsi="Times New Roman" w:cs="Times New Roman"/>
              </w:rPr>
              <w:t>Amendments</w:t>
            </w:r>
          </w:p>
        </w:tc>
        <w:tc>
          <w:tcPr>
            <w:tcW w:w="4703" w:type="dxa"/>
          </w:tcPr>
          <w:p w14:paraId="3D1B23C7" w14:textId="30C85656" w:rsidR="0003778D" w:rsidRPr="00743AAF" w:rsidRDefault="00376DF2" w:rsidP="00743AAF">
            <w:pPr>
              <w:pStyle w:val="ListParagraph"/>
              <w:numPr>
                <w:ilvl w:val="0"/>
                <w:numId w:val="13"/>
              </w:numPr>
              <w:rPr>
                <w:rFonts w:ascii="Times New Roman" w:hAnsi="Times New Roman" w:cs="Times New Roman"/>
              </w:rPr>
            </w:pPr>
            <w:r>
              <w:rPr>
                <w:rFonts w:ascii="Times New Roman" w:hAnsi="Times New Roman" w:cs="Times New Roman"/>
              </w:rPr>
              <w:t>No recommended changes to the Policy</w:t>
            </w:r>
            <w:r w:rsidR="00743AAF">
              <w:rPr>
                <w:rFonts w:ascii="Times New Roman" w:hAnsi="Times New Roman" w:cs="Times New Roman"/>
              </w:rPr>
              <w:t>.</w:t>
            </w:r>
          </w:p>
        </w:tc>
      </w:tr>
      <w:tr w:rsidR="00542F83" w14:paraId="368E8AB6" w14:textId="77777777" w:rsidTr="0003778D">
        <w:tc>
          <w:tcPr>
            <w:tcW w:w="2664" w:type="dxa"/>
          </w:tcPr>
          <w:p w14:paraId="6BB949A1" w14:textId="759730F4" w:rsidR="00542F83" w:rsidRDefault="00542F83" w:rsidP="00542F83">
            <w:pPr>
              <w:rPr>
                <w:rFonts w:ascii="Times New Roman" w:hAnsi="Times New Roman" w:cs="Times New Roman"/>
              </w:rPr>
            </w:pPr>
            <w:r>
              <w:rPr>
                <w:rFonts w:ascii="Times New Roman" w:hAnsi="Times New Roman" w:cs="Times New Roman"/>
              </w:rPr>
              <w:t>BP</w:t>
            </w:r>
            <w:r w:rsidR="005F336A">
              <w:rPr>
                <w:rFonts w:ascii="Times New Roman" w:hAnsi="Times New Roman" w:cs="Times New Roman"/>
              </w:rPr>
              <w:t>60</w:t>
            </w:r>
            <w:r w:rsidR="009E629E">
              <w:rPr>
                <w:rFonts w:ascii="Times New Roman" w:hAnsi="Times New Roman" w:cs="Times New Roman"/>
              </w:rPr>
              <w:t>06 – Kinds of Positions and Appointments</w:t>
            </w:r>
            <w:r>
              <w:rPr>
                <w:rFonts w:ascii="Times New Roman" w:hAnsi="Times New Roman" w:cs="Times New Roman"/>
              </w:rPr>
              <w:t xml:space="preserve"> </w:t>
            </w:r>
          </w:p>
        </w:tc>
        <w:tc>
          <w:tcPr>
            <w:tcW w:w="1878" w:type="dxa"/>
          </w:tcPr>
          <w:p w14:paraId="3E4A9AE7" w14:textId="33D59DF1" w:rsidR="00542F83" w:rsidRDefault="009E629E" w:rsidP="00542F83">
            <w:pPr>
              <w:rPr>
                <w:rFonts w:ascii="Times New Roman" w:hAnsi="Times New Roman" w:cs="Times New Roman"/>
              </w:rPr>
            </w:pPr>
            <w:r>
              <w:rPr>
                <w:rFonts w:ascii="Times New Roman" w:hAnsi="Times New Roman" w:cs="Times New Roman"/>
              </w:rPr>
              <w:t xml:space="preserve">No </w:t>
            </w:r>
            <w:r w:rsidR="00542F83">
              <w:rPr>
                <w:rFonts w:ascii="Times New Roman" w:hAnsi="Times New Roman" w:cs="Times New Roman"/>
              </w:rPr>
              <w:t>Amendments</w:t>
            </w:r>
          </w:p>
        </w:tc>
        <w:tc>
          <w:tcPr>
            <w:tcW w:w="4703" w:type="dxa"/>
          </w:tcPr>
          <w:p w14:paraId="7362F644" w14:textId="76FF4946" w:rsidR="00542F83" w:rsidRPr="00743AAF" w:rsidRDefault="009E629E" w:rsidP="00743AAF">
            <w:pPr>
              <w:pStyle w:val="ListParagraph"/>
              <w:numPr>
                <w:ilvl w:val="0"/>
                <w:numId w:val="8"/>
              </w:numPr>
              <w:rPr>
                <w:rFonts w:ascii="Times New Roman" w:hAnsi="Times New Roman" w:cs="Times New Roman"/>
              </w:rPr>
            </w:pPr>
            <w:r>
              <w:rPr>
                <w:rFonts w:ascii="Times New Roman" w:hAnsi="Times New Roman" w:cs="Times New Roman"/>
              </w:rPr>
              <w:t>No recommended changes to the Policy.</w:t>
            </w:r>
          </w:p>
        </w:tc>
      </w:tr>
      <w:tr w:rsidR="005F336A" w14:paraId="5D65B0A9" w14:textId="77777777" w:rsidTr="0003778D">
        <w:tc>
          <w:tcPr>
            <w:tcW w:w="2664" w:type="dxa"/>
          </w:tcPr>
          <w:p w14:paraId="0B74F6BD" w14:textId="3B726604" w:rsidR="005F336A" w:rsidRDefault="005F336A" w:rsidP="00542F83">
            <w:pPr>
              <w:rPr>
                <w:rFonts w:ascii="Times New Roman" w:hAnsi="Times New Roman" w:cs="Times New Roman"/>
              </w:rPr>
            </w:pPr>
            <w:r>
              <w:rPr>
                <w:rFonts w:ascii="Times New Roman" w:hAnsi="Times New Roman" w:cs="Times New Roman"/>
              </w:rPr>
              <w:t>BP</w:t>
            </w:r>
            <w:r w:rsidR="009E629E">
              <w:rPr>
                <w:rFonts w:ascii="Times New Roman" w:hAnsi="Times New Roman" w:cs="Times New Roman"/>
              </w:rPr>
              <w:t>6008</w:t>
            </w:r>
            <w:r>
              <w:rPr>
                <w:rFonts w:ascii="Times New Roman" w:hAnsi="Times New Roman" w:cs="Times New Roman"/>
              </w:rPr>
              <w:t xml:space="preserve"> </w:t>
            </w:r>
            <w:r w:rsidR="009E629E">
              <w:rPr>
                <w:rFonts w:ascii="Times New Roman" w:hAnsi="Times New Roman" w:cs="Times New Roman"/>
              </w:rPr>
              <w:t>– Employment Contract</w:t>
            </w:r>
          </w:p>
        </w:tc>
        <w:tc>
          <w:tcPr>
            <w:tcW w:w="1878" w:type="dxa"/>
          </w:tcPr>
          <w:p w14:paraId="212A7A8B" w14:textId="1C3137E4" w:rsidR="005F336A" w:rsidRDefault="009E629E" w:rsidP="00542F83">
            <w:pPr>
              <w:rPr>
                <w:rFonts w:ascii="Times New Roman" w:hAnsi="Times New Roman" w:cs="Times New Roman"/>
              </w:rPr>
            </w:pPr>
            <w:r>
              <w:rPr>
                <w:rFonts w:ascii="Times New Roman" w:hAnsi="Times New Roman" w:cs="Times New Roman"/>
              </w:rPr>
              <w:t xml:space="preserve">No </w:t>
            </w:r>
            <w:r w:rsidR="005F336A">
              <w:rPr>
                <w:rFonts w:ascii="Times New Roman" w:hAnsi="Times New Roman" w:cs="Times New Roman"/>
              </w:rPr>
              <w:t>Amendments</w:t>
            </w:r>
          </w:p>
        </w:tc>
        <w:tc>
          <w:tcPr>
            <w:tcW w:w="4703" w:type="dxa"/>
          </w:tcPr>
          <w:p w14:paraId="75ABDDB7" w14:textId="739F9C7E" w:rsidR="005F336A" w:rsidRDefault="009E629E" w:rsidP="005F336A">
            <w:pPr>
              <w:pStyle w:val="ListParagraph"/>
              <w:numPr>
                <w:ilvl w:val="0"/>
                <w:numId w:val="9"/>
              </w:numPr>
              <w:rPr>
                <w:rFonts w:ascii="Times New Roman" w:hAnsi="Times New Roman" w:cs="Times New Roman"/>
              </w:rPr>
            </w:pPr>
            <w:r>
              <w:rPr>
                <w:rFonts w:ascii="Times New Roman" w:hAnsi="Times New Roman" w:cs="Times New Roman"/>
              </w:rPr>
              <w:t>No recommended changes to the Policy.</w:t>
            </w:r>
          </w:p>
        </w:tc>
      </w:tr>
      <w:tr w:rsidR="005F336A" w14:paraId="3C8C8C76" w14:textId="77777777" w:rsidTr="0003778D">
        <w:tc>
          <w:tcPr>
            <w:tcW w:w="2664" w:type="dxa"/>
          </w:tcPr>
          <w:p w14:paraId="41E8D92D" w14:textId="08231C30" w:rsidR="005F336A" w:rsidRDefault="005F336A" w:rsidP="00542F83">
            <w:pPr>
              <w:rPr>
                <w:rFonts w:ascii="Times New Roman" w:hAnsi="Times New Roman" w:cs="Times New Roman"/>
              </w:rPr>
            </w:pPr>
            <w:r>
              <w:rPr>
                <w:rFonts w:ascii="Times New Roman" w:hAnsi="Times New Roman" w:cs="Times New Roman"/>
              </w:rPr>
              <w:t>BP60</w:t>
            </w:r>
            <w:r w:rsidR="009E629E">
              <w:rPr>
                <w:rFonts w:ascii="Times New Roman" w:hAnsi="Times New Roman" w:cs="Times New Roman"/>
              </w:rPr>
              <w:t>10</w:t>
            </w:r>
            <w:r>
              <w:rPr>
                <w:rFonts w:ascii="Times New Roman" w:hAnsi="Times New Roman" w:cs="Times New Roman"/>
              </w:rPr>
              <w:t xml:space="preserve"> </w:t>
            </w:r>
            <w:r w:rsidR="009E629E">
              <w:rPr>
                <w:rFonts w:ascii="Times New Roman" w:hAnsi="Times New Roman" w:cs="Times New Roman"/>
              </w:rPr>
              <w:t>– Leave Policies</w:t>
            </w:r>
          </w:p>
        </w:tc>
        <w:tc>
          <w:tcPr>
            <w:tcW w:w="1878" w:type="dxa"/>
          </w:tcPr>
          <w:p w14:paraId="1CE07BA6" w14:textId="6CFD0CE4" w:rsidR="005F336A" w:rsidRDefault="005F336A" w:rsidP="00542F83">
            <w:pPr>
              <w:rPr>
                <w:rFonts w:ascii="Times New Roman" w:hAnsi="Times New Roman" w:cs="Times New Roman"/>
              </w:rPr>
            </w:pPr>
            <w:r>
              <w:rPr>
                <w:rFonts w:ascii="Times New Roman" w:hAnsi="Times New Roman" w:cs="Times New Roman"/>
              </w:rPr>
              <w:t>Amendments</w:t>
            </w:r>
          </w:p>
        </w:tc>
        <w:tc>
          <w:tcPr>
            <w:tcW w:w="4703" w:type="dxa"/>
          </w:tcPr>
          <w:p w14:paraId="0BC9F66E" w14:textId="77777777" w:rsidR="005F336A" w:rsidRDefault="009E629E" w:rsidP="00743AAF">
            <w:pPr>
              <w:pStyle w:val="ListParagraph"/>
              <w:numPr>
                <w:ilvl w:val="0"/>
                <w:numId w:val="10"/>
              </w:numPr>
              <w:rPr>
                <w:rFonts w:ascii="Times New Roman" w:hAnsi="Times New Roman" w:cs="Times New Roman"/>
              </w:rPr>
            </w:pPr>
            <w:r>
              <w:rPr>
                <w:rFonts w:ascii="Times New Roman" w:hAnsi="Times New Roman" w:cs="Times New Roman"/>
              </w:rPr>
              <w:t>Including new language under Annual Leave to state “</w:t>
            </w:r>
            <w:r w:rsidRPr="009E629E">
              <w:rPr>
                <w:rFonts w:ascii="Times New Roman" w:hAnsi="Times New Roman" w:cs="Times New Roman"/>
                <w:i/>
                <w:iCs/>
                <w:color w:val="0070C0"/>
              </w:rPr>
              <w:t>for the purpose of rest and relaxation</w:t>
            </w:r>
            <w:r>
              <w:rPr>
                <w:rFonts w:ascii="Times New Roman" w:hAnsi="Times New Roman" w:cs="Times New Roman"/>
              </w:rPr>
              <w:t>”</w:t>
            </w:r>
          </w:p>
          <w:p w14:paraId="7964A002" w14:textId="77777777" w:rsidR="009E629E" w:rsidRDefault="009E629E" w:rsidP="00743AAF">
            <w:pPr>
              <w:pStyle w:val="ListParagraph"/>
              <w:numPr>
                <w:ilvl w:val="0"/>
                <w:numId w:val="10"/>
              </w:numPr>
              <w:rPr>
                <w:rFonts w:ascii="Times New Roman" w:hAnsi="Times New Roman" w:cs="Times New Roman"/>
              </w:rPr>
            </w:pPr>
            <w:r>
              <w:rPr>
                <w:rFonts w:ascii="Times New Roman" w:hAnsi="Times New Roman" w:cs="Times New Roman"/>
              </w:rPr>
              <w:lastRenderedPageBreak/>
              <w:t xml:space="preserve">To delete </w:t>
            </w:r>
            <w:r w:rsidR="0003458B">
              <w:rPr>
                <w:rFonts w:ascii="Times New Roman" w:hAnsi="Times New Roman" w:cs="Times New Roman"/>
              </w:rPr>
              <w:t>language under Accrued Leave and insert a new language stating, “</w:t>
            </w:r>
            <w:r w:rsidR="0003458B" w:rsidRPr="0003458B">
              <w:rPr>
                <w:rFonts w:ascii="Times New Roman" w:hAnsi="Times New Roman" w:cs="Times New Roman"/>
                <w:i/>
                <w:iCs/>
                <w:color w:val="0070C0"/>
              </w:rPr>
              <w:t>A maximum of 320 hours of unused annual leave at the end of the calendar year may be carried over the subsequent calendar year or contract. Accrued annual leave exceeding the 320-hour threshold will be forfeited at the end of the calendar year.</w:t>
            </w:r>
            <w:r w:rsidR="0003458B">
              <w:rPr>
                <w:rFonts w:ascii="Times New Roman" w:hAnsi="Times New Roman" w:cs="Times New Roman"/>
              </w:rPr>
              <w:t>”</w:t>
            </w:r>
          </w:p>
          <w:p w14:paraId="6AF46326" w14:textId="5EB21D56" w:rsidR="0003458B" w:rsidRPr="0003458B" w:rsidRDefault="0003458B" w:rsidP="0003458B">
            <w:pPr>
              <w:pStyle w:val="ListParagraph"/>
              <w:numPr>
                <w:ilvl w:val="0"/>
                <w:numId w:val="10"/>
              </w:numPr>
              <w:rPr>
                <w:rFonts w:ascii="Times New Roman" w:hAnsi="Times New Roman" w:cs="Times New Roman"/>
              </w:rPr>
            </w:pPr>
            <w:r>
              <w:rPr>
                <w:rFonts w:ascii="Times New Roman" w:hAnsi="Times New Roman" w:cs="Times New Roman"/>
              </w:rPr>
              <w:t>To insert a new section under Annual Leave to state, “</w:t>
            </w:r>
            <w:r w:rsidRPr="0003458B">
              <w:rPr>
                <w:rFonts w:ascii="Times New Roman" w:hAnsi="Times New Roman" w:cs="Times New Roman"/>
                <w:i/>
                <w:iCs/>
                <w:color w:val="0070C0"/>
              </w:rPr>
              <w:t>Section F: No leave during the resignation notice period. Annual leave shall not be granted during a notice period of resignation</w:t>
            </w:r>
            <w:r w:rsidRPr="0003458B">
              <w:rPr>
                <w:rFonts w:ascii="Times New Roman" w:hAnsi="Times New Roman" w:cs="Times New Roman"/>
                <w:color w:val="0070C0"/>
              </w:rPr>
              <w:t>”</w:t>
            </w:r>
          </w:p>
        </w:tc>
      </w:tr>
      <w:tr w:rsidR="00743AAF" w14:paraId="2CFD30BE" w14:textId="77777777" w:rsidTr="0003778D">
        <w:tc>
          <w:tcPr>
            <w:tcW w:w="2664" w:type="dxa"/>
          </w:tcPr>
          <w:p w14:paraId="06935702" w14:textId="4F586FE3" w:rsidR="00743AAF" w:rsidRDefault="00743AAF" w:rsidP="00542F83">
            <w:pPr>
              <w:rPr>
                <w:rFonts w:ascii="Times New Roman" w:hAnsi="Times New Roman" w:cs="Times New Roman"/>
              </w:rPr>
            </w:pPr>
            <w:r>
              <w:rPr>
                <w:rFonts w:ascii="Times New Roman" w:hAnsi="Times New Roman" w:cs="Times New Roman"/>
              </w:rPr>
              <w:lastRenderedPageBreak/>
              <w:t>BP</w:t>
            </w:r>
            <w:r w:rsidR="009E629E">
              <w:rPr>
                <w:rFonts w:ascii="Times New Roman" w:hAnsi="Times New Roman" w:cs="Times New Roman"/>
              </w:rPr>
              <w:t>6011 – Optional Benefits</w:t>
            </w:r>
          </w:p>
        </w:tc>
        <w:tc>
          <w:tcPr>
            <w:tcW w:w="1878" w:type="dxa"/>
          </w:tcPr>
          <w:p w14:paraId="5D7DA624" w14:textId="4C6EE7E0" w:rsidR="00743AAF" w:rsidRDefault="00743AAF" w:rsidP="00542F83">
            <w:pPr>
              <w:rPr>
                <w:rFonts w:ascii="Times New Roman" w:hAnsi="Times New Roman" w:cs="Times New Roman"/>
              </w:rPr>
            </w:pPr>
            <w:r>
              <w:rPr>
                <w:rFonts w:ascii="Times New Roman" w:hAnsi="Times New Roman" w:cs="Times New Roman"/>
              </w:rPr>
              <w:t>No Amendments</w:t>
            </w:r>
          </w:p>
        </w:tc>
        <w:tc>
          <w:tcPr>
            <w:tcW w:w="4703" w:type="dxa"/>
          </w:tcPr>
          <w:p w14:paraId="385B98AF" w14:textId="248E5468" w:rsidR="00743AAF" w:rsidRDefault="00743AAF" w:rsidP="00743AAF">
            <w:pPr>
              <w:pStyle w:val="ListParagraph"/>
              <w:numPr>
                <w:ilvl w:val="0"/>
                <w:numId w:val="11"/>
              </w:numPr>
              <w:rPr>
                <w:rFonts w:ascii="Times New Roman" w:hAnsi="Times New Roman" w:cs="Times New Roman"/>
              </w:rPr>
            </w:pPr>
            <w:r>
              <w:rPr>
                <w:rFonts w:ascii="Times New Roman" w:hAnsi="Times New Roman" w:cs="Times New Roman"/>
              </w:rPr>
              <w:t xml:space="preserve">No recommended changes to the </w:t>
            </w:r>
            <w:r w:rsidR="009E629E">
              <w:rPr>
                <w:rFonts w:ascii="Times New Roman" w:hAnsi="Times New Roman" w:cs="Times New Roman"/>
              </w:rPr>
              <w:t>P</w:t>
            </w:r>
            <w:r>
              <w:rPr>
                <w:rFonts w:ascii="Times New Roman" w:hAnsi="Times New Roman" w:cs="Times New Roman"/>
              </w:rPr>
              <w:t>olicy</w:t>
            </w:r>
            <w:r w:rsidR="009E629E">
              <w:rPr>
                <w:rFonts w:ascii="Times New Roman" w:hAnsi="Times New Roman" w:cs="Times New Roman"/>
              </w:rPr>
              <w:t>.</w:t>
            </w:r>
          </w:p>
        </w:tc>
      </w:tr>
      <w:tr w:rsidR="00743AAF" w14:paraId="7C52142B" w14:textId="77777777" w:rsidTr="0003778D">
        <w:tc>
          <w:tcPr>
            <w:tcW w:w="2664" w:type="dxa"/>
          </w:tcPr>
          <w:p w14:paraId="2FD98E66" w14:textId="7197AC4C" w:rsidR="00743AAF" w:rsidRDefault="00743AAF" w:rsidP="00542F83">
            <w:pPr>
              <w:rPr>
                <w:rFonts w:ascii="Times New Roman" w:hAnsi="Times New Roman" w:cs="Times New Roman"/>
              </w:rPr>
            </w:pPr>
            <w:r>
              <w:rPr>
                <w:rFonts w:ascii="Times New Roman" w:hAnsi="Times New Roman" w:cs="Times New Roman"/>
              </w:rPr>
              <w:t>BP</w:t>
            </w:r>
            <w:r w:rsidR="009E629E">
              <w:rPr>
                <w:rFonts w:ascii="Times New Roman" w:hAnsi="Times New Roman" w:cs="Times New Roman"/>
              </w:rPr>
              <w:t>6014 – Institutional Benefits</w:t>
            </w:r>
          </w:p>
        </w:tc>
        <w:tc>
          <w:tcPr>
            <w:tcW w:w="1878" w:type="dxa"/>
          </w:tcPr>
          <w:p w14:paraId="4838B1B3" w14:textId="46AC1259" w:rsidR="00743AAF" w:rsidRDefault="00743AAF" w:rsidP="00542F83">
            <w:pPr>
              <w:rPr>
                <w:rFonts w:ascii="Times New Roman" w:hAnsi="Times New Roman" w:cs="Times New Roman"/>
              </w:rPr>
            </w:pPr>
            <w:r>
              <w:rPr>
                <w:rFonts w:ascii="Times New Roman" w:hAnsi="Times New Roman" w:cs="Times New Roman"/>
              </w:rPr>
              <w:t>No Amendments</w:t>
            </w:r>
          </w:p>
        </w:tc>
        <w:tc>
          <w:tcPr>
            <w:tcW w:w="4703" w:type="dxa"/>
          </w:tcPr>
          <w:p w14:paraId="42060747" w14:textId="049B5550" w:rsidR="00743AAF" w:rsidRDefault="00743AAF" w:rsidP="00743AAF">
            <w:pPr>
              <w:pStyle w:val="ListParagraph"/>
              <w:numPr>
                <w:ilvl w:val="0"/>
                <w:numId w:val="12"/>
              </w:numPr>
              <w:rPr>
                <w:rFonts w:ascii="Times New Roman" w:hAnsi="Times New Roman" w:cs="Times New Roman"/>
              </w:rPr>
            </w:pPr>
            <w:r>
              <w:rPr>
                <w:rFonts w:ascii="Times New Roman" w:hAnsi="Times New Roman" w:cs="Times New Roman"/>
              </w:rPr>
              <w:t xml:space="preserve">No recommended changes to the </w:t>
            </w:r>
            <w:r w:rsidR="009E629E">
              <w:rPr>
                <w:rFonts w:ascii="Times New Roman" w:hAnsi="Times New Roman" w:cs="Times New Roman"/>
              </w:rPr>
              <w:t>P</w:t>
            </w:r>
            <w:r>
              <w:rPr>
                <w:rFonts w:ascii="Times New Roman" w:hAnsi="Times New Roman" w:cs="Times New Roman"/>
              </w:rPr>
              <w:t>olicy</w:t>
            </w:r>
            <w:r w:rsidR="009E629E">
              <w:rPr>
                <w:rFonts w:ascii="Times New Roman" w:hAnsi="Times New Roman" w:cs="Times New Roman"/>
              </w:rPr>
              <w:t>.</w:t>
            </w:r>
          </w:p>
        </w:tc>
      </w:tr>
    </w:tbl>
    <w:p w14:paraId="156C3346" w14:textId="77777777" w:rsidR="0003778D" w:rsidRDefault="0003778D" w:rsidP="00805F2C">
      <w:pPr>
        <w:spacing w:after="32"/>
      </w:pPr>
    </w:p>
    <w:p w14:paraId="72F7BF05" w14:textId="77777777" w:rsidR="0003778D" w:rsidRDefault="0003778D" w:rsidP="00805F2C">
      <w:pPr>
        <w:spacing w:after="32"/>
      </w:pPr>
    </w:p>
    <w:p w14:paraId="256824AB" w14:textId="4031EE71" w:rsidR="0049613F" w:rsidRDefault="0068355B" w:rsidP="009E629E">
      <w:pPr>
        <w:pStyle w:val="Heading1"/>
        <w:spacing w:after="0"/>
      </w:pPr>
      <w:r>
        <w:t xml:space="preserve">ACTION TAKEN: </w:t>
      </w:r>
      <w:r>
        <w:tab/>
        <w:t xml:space="preserve"> </w:t>
      </w:r>
      <w:r>
        <w:tab/>
        <w:t xml:space="preserve"> </w:t>
      </w:r>
      <w:r>
        <w:tab/>
        <w:t xml:space="preserve"> </w:t>
      </w:r>
      <w:r>
        <w:tab/>
        <w:t xml:space="preserve"> </w:t>
      </w:r>
    </w:p>
    <w:p w14:paraId="275385B8" w14:textId="77777777" w:rsidR="0049613F" w:rsidRDefault="0068355B" w:rsidP="009E629E">
      <w:pPr>
        <w:spacing w:after="0" w:line="240" w:lineRule="auto"/>
        <w:ind w:left="0" w:firstLine="0"/>
      </w:pPr>
      <w:r>
        <w:rPr>
          <w:b/>
        </w:rPr>
        <w:t xml:space="preserve"> </w:t>
      </w:r>
    </w:p>
    <w:p w14:paraId="4A3DB644" w14:textId="06C87AED" w:rsidR="0049613F" w:rsidRDefault="0068355B" w:rsidP="009E629E">
      <w:pPr>
        <w:spacing w:after="0" w:line="240" w:lineRule="auto"/>
      </w:pPr>
      <w:r>
        <w:t xml:space="preserve">_____ Approved as presented </w:t>
      </w:r>
      <w:r>
        <w:tab/>
        <w:t xml:space="preserve"> </w:t>
      </w:r>
      <w:r>
        <w:tab/>
        <w:t xml:space="preserve"> </w:t>
      </w:r>
      <w:r>
        <w:tab/>
        <w:t xml:space="preserve"> </w:t>
      </w:r>
      <w:r>
        <w:tab/>
        <w:t xml:space="preserve"> </w:t>
      </w:r>
    </w:p>
    <w:p w14:paraId="3C86210D" w14:textId="77777777" w:rsidR="0049613F" w:rsidRDefault="0068355B" w:rsidP="009E629E">
      <w:pPr>
        <w:spacing w:after="0" w:line="240" w:lineRule="auto"/>
        <w:ind w:left="0" w:firstLine="0"/>
      </w:pPr>
      <w:r>
        <w:t xml:space="preserve"> </w:t>
      </w:r>
    </w:p>
    <w:p w14:paraId="00AEBB1B" w14:textId="77777777" w:rsidR="0049613F" w:rsidRDefault="0068355B" w:rsidP="009E629E">
      <w:pPr>
        <w:spacing w:after="0" w:line="240" w:lineRule="auto"/>
      </w:pPr>
      <w:r>
        <w:t xml:space="preserve">_____Approved w/ modifications </w:t>
      </w:r>
    </w:p>
    <w:p w14:paraId="4A4CA3F2" w14:textId="77777777" w:rsidR="0049613F" w:rsidRDefault="0068355B" w:rsidP="009E629E">
      <w:pPr>
        <w:spacing w:after="0" w:line="240" w:lineRule="auto"/>
        <w:ind w:left="0" w:firstLine="0"/>
      </w:pPr>
      <w:r>
        <w:t xml:space="preserve"> </w:t>
      </w:r>
    </w:p>
    <w:p w14:paraId="793A4A09" w14:textId="77777777" w:rsidR="0049613F" w:rsidRDefault="0068355B" w:rsidP="009E629E">
      <w:pPr>
        <w:spacing w:after="0" w:line="240" w:lineRule="auto"/>
      </w:pPr>
      <w:r>
        <w:t xml:space="preserve">_____Disapproved </w:t>
      </w:r>
    </w:p>
    <w:p w14:paraId="4C373FBE" w14:textId="77777777" w:rsidR="0049613F" w:rsidRDefault="0068355B" w:rsidP="009E629E">
      <w:pPr>
        <w:spacing w:after="0" w:line="240" w:lineRule="auto"/>
        <w:ind w:left="0" w:firstLine="0"/>
      </w:pPr>
      <w:r>
        <w:t xml:space="preserve"> </w:t>
      </w:r>
    </w:p>
    <w:p w14:paraId="7E953B41" w14:textId="1197FFC8" w:rsidR="0049613F" w:rsidRDefault="0068355B" w:rsidP="009E629E">
      <w:pPr>
        <w:spacing w:after="0" w:line="240" w:lineRule="auto"/>
      </w:pPr>
      <w:r>
        <w:t xml:space="preserve">_____Deferred to a later meeting </w:t>
      </w:r>
      <w:r>
        <w:tab/>
        <w:t xml:space="preserve"> </w:t>
      </w:r>
      <w:r>
        <w:tab/>
        <w:t xml:space="preserve"> </w:t>
      </w:r>
      <w:r>
        <w:tab/>
        <w:t xml:space="preserve"> </w:t>
      </w:r>
    </w:p>
    <w:p w14:paraId="5FCDCAA4" w14:textId="74E3E3B8" w:rsidR="009E629E" w:rsidRDefault="0068355B" w:rsidP="009E629E">
      <w:pPr>
        <w:spacing w:after="212" w:line="240" w:lineRule="auto"/>
        <w:ind w:left="0" w:firstLine="0"/>
      </w:pPr>
      <w:r>
        <w:t xml:space="preserve"> </w:t>
      </w:r>
    </w:p>
    <w:p w14:paraId="61337F54" w14:textId="0FA8A783" w:rsidR="009E629E" w:rsidRPr="009E629E" w:rsidRDefault="009E629E" w:rsidP="009E629E">
      <w:pPr>
        <w:spacing w:after="212" w:line="240" w:lineRule="auto"/>
        <w:ind w:left="0" w:firstLine="0"/>
        <w:rPr>
          <w:b/>
          <w:bCs/>
        </w:rPr>
      </w:pPr>
      <w:r w:rsidRPr="009E629E">
        <w:rPr>
          <w:b/>
          <w:bCs/>
        </w:rPr>
        <w:t>VOTE:</w:t>
      </w:r>
    </w:p>
    <w:p w14:paraId="7EF18214" w14:textId="121845AF" w:rsidR="009E629E" w:rsidRDefault="009E629E" w:rsidP="009E629E">
      <w:pPr>
        <w:spacing w:after="212" w:line="240" w:lineRule="auto"/>
        <w:ind w:left="0" w:firstLine="0"/>
      </w:pPr>
      <w:r>
        <w:t>_____aye   _____</w:t>
      </w:r>
      <w:proofErr w:type="gramStart"/>
      <w:r>
        <w:t>nay   __</w:t>
      </w:r>
      <w:proofErr w:type="gramEnd"/>
      <w:r>
        <w:t>___abstain</w:t>
      </w:r>
    </w:p>
    <w:p w14:paraId="15EB9197" w14:textId="77777777" w:rsidR="009E629E" w:rsidRDefault="009E629E" w:rsidP="009E629E">
      <w:pPr>
        <w:spacing w:after="212" w:line="240" w:lineRule="auto"/>
        <w:ind w:left="0" w:firstLine="0"/>
      </w:pPr>
    </w:p>
    <w:p w14:paraId="04CD8707" w14:textId="5BC1D3C9" w:rsidR="009E629E" w:rsidRDefault="009E629E" w:rsidP="009E629E">
      <w:pPr>
        <w:spacing w:after="212" w:line="240" w:lineRule="auto"/>
        <w:ind w:left="0" w:firstLine="0"/>
      </w:pPr>
      <w:r>
        <w:rPr>
          <w:b/>
        </w:rPr>
        <w:t xml:space="preserve">DATE:  </w:t>
      </w:r>
      <w:r>
        <w:t>______________________</w:t>
      </w:r>
    </w:p>
    <w:sectPr w:rsidR="009E629E">
      <w:pgSz w:w="12240" w:h="15840"/>
      <w:pgMar w:top="1440" w:right="154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875F41"/>
    <w:multiLevelType w:val="hybridMultilevel"/>
    <w:tmpl w:val="9C8E68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85B644C"/>
    <w:multiLevelType w:val="hybridMultilevel"/>
    <w:tmpl w:val="9C8E68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684C51"/>
    <w:multiLevelType w:val="hybridMultilevel"/>
    <w:tmpl w:val="9C8E68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982770"/>
    <w:multiLevelType w:val="hybridMultilevel"/>
    <w:tmpl w:val="4824E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5727F6"/>
    <w:multiLevelType w:val="hybridMultilevel"/>
    <w:tmpl w:val="9C8E68F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0528B9"/>
    <w:multiLevelType w:val="hybridMultilevel"/>
    <w:tmpl w:val="9C8E68F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375673"/>
    <w:multiLevelType w:val="hybridMultilevel"/>
    <w:tmpl w:val="9C8E68F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283E89"/>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91235A5"/>
    <w:multiLevelType w:val="hybridMultilevel"/>
    <w:tmpl w:val="9C8E68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F2A61DE"/>
    <w:multiLevelType w:val="hybridMultilevel"/>
    <w:tmpl w:val="5DF2A728"/>
    <w:lvl w:ilvl="0" w:tplc="BE6E11E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759231DC"/>
    <w:multiLevelType w:val="hybridMultilevel"/>
    <w:tmpl w:val="9C8E68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CD25985"/>
    <w:multiLevelType w:val="hybridMultilevel"/>
    <w:tmpl w:val="9C8E68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19189988">
    <w:abstractNumId w:val="3"/>
  </w:num>
  <w:num w:numId="2" w16cid:durableId="1894538827">
    <w:abstractNumId w:val="4"/>
  </w:num>
  <w:num w:numId="3" w16cid:durableId="1009596532">
    <w:abstractNumId w:val="7"/>
  </w:num>
  <w:num w:numId="4" w16cid:durableId="1119180372">
    <w:abstractNumId w:val="5"/>
  </w:num>
  <w:num w:numId="5" w16cid:durableId="2032143105">
    <w:abstractNumId w:val="6"/>
  </w:num>
  <w:num w:numId="6" w16cid:durableId="771321001">
    <w:abstractNumId w:val="0"/>
  </w:num>
  <w:num w:numId="7" w16cid:durableId="1085492389">
    <w:abstractNumId w:val="8"/>
  </w:num>
  <w:num w:numId="8" w16cid:durableId="1143162466">
    <w:abstractNumId w:val="9"/>
  </w:num>
  <w:num w:numId="9" w16cid:durableId="154881036">
    <w:abstractNumId w:val="11"/>
  </w:num>
  <w:num w:numId="10" w16cid:durableId="2116317109">
    <w:abstractNumId w:val="12"/>
  </w:num>
  <w:num w:numId="11" w16cid:durableId="2107378988">
    <w:abstractNumId w:val="1"/>
  </w:num>
  <w:num w:numId="12" w16cid:durableId="367534276">
    <w:abstractNumId w:val="2"/>
  </w:num>
  <w:num w:numId="13" w16cid:durableId="1131435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3F"/>
    <w:rsid w:val="00021267"/>
    <w:rsid w:val="0003458B"/>
    <w:rsid w:val="0003778D"/>
    <w:rsid w:val="000566B8"/>
    <w:rsid w:val="000A5B5E"/>
    <w:rsid w:val="000D2E04"/>
    <w:rsid w:val="000D5E2A"/>
    <w:rsid w:val="0015775F"/>
    <w:rsid w:val="00212AEB"/>
    <w:rsid w:val="0025470A"/>
    <w:rsid w:val="002F277E"/>
    <w:rsid w:val="0032455E"/>
    <w:rsid w:val="00376DF2"/>
    <w:rsid w:val="003C333B"/>
    <w:rsid w:val="0049613F"/>
    <w:rsid w:val="00503A3C"/>
    <w:rsid w:val="00542F83"/>
    <w:rsid w:val="005A169A"/>
    <w:rsid w:val="005A5C64"/>
    <w:rsid w:val="005F336A"/>
    <w:rsid w:val="0061308F"/>
    <w:rsid w:val="00681755"/>
    <w:rsid w:val="0068355B"/>
    <w:rsid w:val="00743AAF"/>
    <w:rsid w:val="00785136"/>
    <w:rsid w:val="007D6F6D"/>
    <w:rsid w:val="00802FDA"/>
    <w:rsid w:val="00805F2C"/>
    <w:rsid w:val="009047E7"/>
    <w:rsid w:val="009D0769"/>
    <w:rsid w:val="009E629E"/>
    <w:rsid w:val="00A0238D"/>
    <w:rsid w:val="00A328D7"/>
    <w:rsid w:val="00AA2702"/>
    <w:rsid w:val="00AD3C2D"/>
    <w:rsid w:val="00AF2646"/>
    <w:rsid w:val="00BC307B"/>
    <w:rsid w:val="00C054D3"/>
    <w:rsid w:val="00CD7AD1"/>
    <w:rsid w:val="00D43C55"/>
    <w:rsid w:val="00DC5152"/>
    <w:rsid w:val="00DD39D4"/>
    <w:rsid w:val="00E667F5"/>
    <w:rsid w:val="00F65D76"/>
    <w:rsid w:val="00F9631E"/>
    <w:rsid w:val="00F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194B1"/>
  <w15:docId w15:val="{5C13EF2D-CA56-44B5-9FAE-0BC9CAEF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3" w:line="246" w:lineRule="auto"/>
      <w:ind w:left="-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2" w:line="240" w:lineRule="auto"/>
      <w:ind w:left="-5" w:righ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5A5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C64"/>
    <w:rPr>
      <w:rFonts w:ascii="Segoe UI" w:eastAsia="Calibri" w:hAnsi="Segoe UI" w:cs="Segoe UI"/>
      <w:color w:val="000000"/>
      <w:sz w:val="18"/>
      <w:szCs w:val="18"/>
    </w:rPr>
  </w:style>
  <w:style w:type="table" w:styleId="TableGrid">
    <w:name w:val="Table Grid"/>
    <w:basedOn w:val="TableNormal"/>
    <w:uiPriority w:val="39"/>
    <w:rsid w:val="0003778D"/>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8D"/>
    <w:pPr>
      <w:spacing w:after="0" w:line="240" w:lineRule="auto"/>
      <w:ind w:left="720" w:firstLine="0"/>
      <w:contextualSpacing/>
    </w:pPr>
    <w:rPr>
      <w:rFonts w:asciiTheme="minorHAnsi" w:eastAsiaTheme="minorHAnsi" w:hAnsiTheme="minorHAnsi" w:cstheme="minorBidi"/>
      <w:color w:val="auto"/>
      <w:kern w:val="2"/>
      <w:sz w:val="24"/>
      <w:szCs w:val="24"/>
      <w14:ligatures w14:val="standardContextual"/>
    </w:rPr>
  </w:style>
  <w:style w:type="character" w:customStyle="1" w:styleId="apple-converted-space">
    <w:name w:val="apple-converted-space"/>
    <w:basedOn w:val="DefaultParagraphFont"/>
    <w:rsid w:val="0003778D"/>
  </w:style>
  <w:style w:type="character" w:styleId="Strong">
    <w:name w:val="Strong"/>
    <w:basedOn w:val="DefaultParagraphFont"/>
    <w:uiPriority w:val="22"/>
    <w:qFormat/>
    <w:rsid w:val="00037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dc:creator>
  <cp:keywords/>
  <cp:lastModifiedBy>Gee Leong Bing</cp:lastModifiedBy>
  <cp:revision>2</cp:revision>
  <cp:lastPrinted>2023-02-15T00:37:00Z</cp:lastPrinted>
  <dcterms:created xsi:type="dcterms:W3CDTF">2025-12-01T03:08:00Z</dcterms:created>
  <dcterms:modified xsi:type="dcterms:W3CDTF">2025-12-01T03:08:00Z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6b682a0b77c842b0de2ba775eb723e173afa1872bbb469d2db11da97b1b211b7</vt:lpwstr>
  </property>
</Properties>
</file>