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A4" w:rsidRDefault="006D7BA4">
      <w:bookmarkStart w:id="0" w:name="_GoBack"/>
      <w:bookmarkEnd w:id="0"/>
    </w:p>
    <w:p w:rsidR="00572B0B" w:rsidRPr="0018256C" w:rsidRDefault="0046287E" w:rsidP="0046287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56C">
        <w:rPr>
          <w:rFonts w:ascii="Times New Roman" w:hAnsi="Times New Roman" w:cs="Times New Roman"/>
          <w:b/>
          <w:sz w:val="28"/>
          <w:szCs w:val="28"/>
        </w:rPr>
        <w:t>College of Micronesia – FSM</w:t>
      </w:r>
    </w:p>
    <w:p w:rsidR="00415B3F" w:rsidRPr="0018256C" w:rsidRDefault="00415B3F" w:rsidP="00415B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6C">
        <w:rPr>
          <w:rFonts w:ascii="Times New Roman" w:hAnsi="Times New Roman" w:cs="Times New Roman"/>
          <w:b/>
          <w:sz w:val="24"/>
          <w:szCs w:val="24"/>
          <w:u w:val="single"/>
        </w:rPr>
        <w:t>Spring 2012</w:t>
      </w:r>
    </w:p>
    <w:p w:rsidR="0046287E" w:rsidRPr="0018256C" w:rsidRDefault="0046287E" w:rsidP="007C20A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56C">
        <w:rPr>
          <w:rFonts w:ascii="Times New Roman" w:hAnsi="Times New Roman" w:cs="Times New Roman"/>
          <w:b/>
          <w:sz w:val="24"/>
          <w:szCs w:val="24"/>
          <w:u w:val="single"/>
        </w:rPr>
        <w:t>Enrollment &amp; Achievement Data</w:t>
      </w:r>
      <w:r w:rsidR="007C20A1">
        <w:rPr>
          <w:rFonts w:ascii="Times New Roman" w:hAnsi="Times New Roman" w:cs="Times New Roman"/>
          <w:b/>
          <w:sz w:val="24"/>
          <w:szCs w:val="24"/>
          <w:u w:val="single"/>
        </w:rPr>
        <w:t xml:space="preserve"> Summary</w:t>
      </w:r>
    </w:p>
    <w:p w:rsidR="0046287E" w:rsidRDefault="0046287E" w:rsidP="004628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287E" w:rsidRDefault="0046287E" w:rsidP="004628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student enrollment for spring 2012 was 2544</w:t>
      </w:r>
      <w:r w:rsidR="00C22FB7">
        <w:rPr>
          <w:rFonts w:ascii="Times New Roman" w:hAnsi="Times New Roman" w:cs="Times New Roman"/>
          <w:sz w:val="24"/>
          <w:szCs w:val="24"/>
        </w:rPr>
        <w:t xml:space="preserve"> compared to 2392 student</w:t>
      </w:r>
      <w:r w:rsidR="006641CD">
        <w:rPr>
          <w:rFonts w:ascii="Times New Roman" w:hAnsi="Times New Roman" w:cs="Times New Roman"/>
          <w:sz w:val="24"/>
          <w:szCs w:val="24"/>
        </w:rPr>
        <w:t>s</w:t>
      </w:r>
      <w:r w:rsidR="00C22FB7">
        <w:rPr>
          <w:rFonts w:ascii="Times New Roman" w:hAnsi="Times New Roman" w:cs="Times New Roman"/>
          <w:sz w:val="24"/>
          <w:szCs w:val="24"/>
        </w:rPr>
        <w:t xml:space="preserve"> in spring 2011</w:t>
      </w:r>
      <w:r>
        <w:rPr>
          <w:rFonts w:ascii="Times New Roman" w:hAnsi="Times New Roman" w:cs="Times New Roman"/>
          <w:sz w:val="24"/>
          <w:szCs w:val="24"/>
        </w:rPr>
        <w:t xml:space="preserve">.  The National Campus had 958 students followed by Pohnpei with 693, Chuuk 428, Kosrae 244 and Yap 221.  </w:t>
      </w:r>
      <w:r w:rsidR="00C22FB7">
        <w:rPr>
          <w:rFonts w:ascii="Times New Roman" w:hAnsi="Times New Roman" w:cs="Times New Roman"/>
          <w:sz w:val="24"/>
          <w:szCs w:val="24"/>
        </w:rPr>
        <w:t xml:space="preserve">Continuing students composed the greatest portion of students at 91% with new students representing 5% of the overall student population and returning students with 4%. </w:t>
      </w:r>
    </w:p>
    <w:p w:rsidR="0046287E" w:rsidRPr="0046287E" w:rsidRDefault="0046287E" w:rsidP="004628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72B0B" w:rsidTr="00F47257">
        <w:tc>
          <w:tcPr>
            <w:tcW w:w="4788" w:type="dxa"/>
          </w:tcPr>
          <w:p w:rsidR="00572B0B" w:rsidRDefault="00572B0B">
            <w:r>
              <w:rPr>
                <w:noProof/>
              </w:rPr>
              <w:drawing>
                <wp:inline distT="0" distB="0" distL="0" distR="0" wp14:anchorId="486A37EF" wp14:editId="2DF0A990">
                  <wp:extent cx="2834640" cy="1682496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16824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572B0B" w:rsidRDefault="00572B0B">
            <w:r>
              <w:rPr>
                <w:noProof/>
              </w:rPr>
              <w:drawing>
                <wp:inline distT="0" distB="0" distL="0" distR="0" wp14:anchorId="04A5B5B5" wp14:editId="6438A3AA">
                  <wp:extent cx="2834640" cy="1700784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1700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FB7" w:rsidRDefault="00C22FB7" w:rsidP="00D5027F">
      <w:pPr>
        <w:pStyle w:val="NoSpacing"/>
      </w:pPr>
    </w:p>
    <w:p w:rsidR="00C22FB7" w:rsidRDefault="00D5027F" w:rsidP="00D50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Pohnpeians continued to represent the largest component of the college community at 55% overall and 76% at the National campus. Chuukese represented 20% of the overall student population and 8% of the National campus student population.  Both of the </w:t>
      </w:r>
      <w:r w:rsidR="006641CD">
        <w:rPr>
          <w:rFonts w:ascii="Times New Roman" w:hAnsi="Times New Roman" w:cs="Times New Roman"/>
          <w:sz w:val="24"/>
          <w:szCs w:val="24"/>
        </w:rPr>
        <w:t xml:space="preserve">Chuukese </w:t>
      </w:r>
      <w:r>
        <w:rPr>
          <w:rFonts w:ascii="Times New Roman" w:hAnsi="Times New Roman" w:cs="Times New Roman"/>
          <w:sz w:val="24"/>
          <w:szCs w:val="24"/>
        </w:rPr>
        <w:t xml:space="preserve">figures are significantly below the 47.4% of the Chuukese component of the overall FSM population. </w:t>
      </w:r>
    </w:p>
    <w:p w:rsidR="00572B0B" w:rsidRDefault="00572B0B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908"/>
      </w:tblGrid>
      <w:tr w:rsidR="00D5027F" w:rsidTr="00F47257">
        <w:tc>
          <w:tcPr>
            <w:tcW w:w="4788" w:type="dxa"/>
          </w:tcPr>
          <w:p w:rsidR="00D5027F" w:rsidRDefault="00FF7948">
            <w:r>
              <w:rPr>
                <w:noProof/>
              </w:rPr>
              <w:drawing>
                <wp:inline distT="0" distB="0" distL="0" distR="0" wp14:anchorId="66D031A8" wp14:editId="5C0DD6CB">
                  <wp:extent cx="2834640" cy="179324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1793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D5027F" w:rsidRDefault="00FF7948">
            <w:r>
              <w:rPr>
                <w:noProof/>
              </w:rPr>
              <w:drawing>
                <wp:inline distT="0" distB="0" distL="0" distR="0" wp14:anchorId="19F5FEA4" wp14:editId="0D36ABB4">
                  <wp:extent cx="2988733" cy="179324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733" cy="1793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B0B" w:rsidRDefault="00572B0B"/>
    <w:p w:rsidR="00FF7948" w:rsidRPr="00FF7948" w:rsidRDefault="00FF7948" w:rsidP="00FF79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total college credits of 29776 for spring 2012 exceed</w:t>
      </w:r>
      <w:r w:rsidR="00F47257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the spring 2011 total by 1034 credits.  78.4% of college students were in good academic standing (GPA 2.00 or greater) at the end of the spring semester.  The range in good standing by campus was Yap campus with 85.5% of students in good academic standing down to Pohnpei campus’s 71.1%.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72B0B" w:rsidTr="00F47257">
        <w:tc>
          <w:tcPr>
            <w:tcW w:w="4788" w:type="dxa"/>
          </w:tcPr>
          <w:p w:rsidR="00572B0B" w:rsidRDefault="00572B0B">
            <w:r>
              <w:rPr>
                <w:noProof/>
              </w:rPr>
              <w:lastRenderedPageBreak/>
              <w:drawing>
                <wp:inline distT="0" distB="0" distL="0" distR="0" wp14:anchorId="429ED1DF" wp14:editId="61E642A2">
                  <wp:extent cx="2834640" cy="1719072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1719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572B0B" w:rsidRDefault="0046287E">
            <w:r>
              <w:rPr>
                <w:noProof/>
              </w:rPr>
              <w:drawing>
                <wp:inline distT="0" distB="0" distL="0" distR="0" wp14:anchorId="59972CE6" wp14:editId="17A24A8D">
                  <wp:extent cx="2834640" cy="1700784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1700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B0B" w:rsidRDefault="00572B0B" w:rsidP="00FF7948">
      <w:pPr>
        <w:pStyle w:val="NoSpacing"/>
      </w:pPr>
    </w:p>
    <w:p w:rsidR="00FF7948" w:rsidRPr="00FF7948" w:rsidRDefault="00FF7948" w:rsidP="00FF79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794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figure below shows the comparison between credits attempted and credits earned by campus.  On average students attempted 10.3 credits and earned 8.6 credits.  39.8% of students earned 12 or more credits during spring semester.  </w:t>
      </w:r>
      <w:r w:rsidR="00BB2C03">
        <w:rPr>
          <w:rFonts w:ascii="Times New Roman" w:hAnsi="Times New Roman" w:cs="Times New Roman"/>
          <w:sz w:val="24"/>
          <w:szCs w:val="24"/>
        </w:rPr>
        <w:t xml:space="preserve">Approximately 50% of continuing and </w:t>
      </w:r>
      <w:r w:rsidR="00D03BBB">
        <w:rPr>
          <w:rFonts w:ascii="Times New Roman" w:hAnsi="Times New Roman" w:cs="Times New Roman"/>
          <w:sz w:val="24"/>
          <w:szCs w:val="24"/>
        </w:rPr>
        <w:t xml:space="preserve">47% of returning students at the National campus earned 12 or more credits along with </w:t>
      </w:r>
      <w:r w:rsidR="00BD5299">
        <w:rPr>
          <w:rFonts w:ascii="Times New Roman" w:hAnsi="Times New Roman" w:cs="Times New Roman"/>
          <w:sz w:val="24"/>
          <w:szCs w:val="24"/>
        </w:rPr>
        <w:t xml:space="preserve">50% of </w:t>
      </w:r>
      <w:r w:rsidR="00D03BBB">
        <w:rPr>
          <w:rFonts w:ascii="Times New Roman" w:hAnsi="Times New Roman" w:cs="Times New Roman"/>
          <w:sz w:val="24"/>
          <w:szCs w:val="24"/>
        </w:rPr>
        <w:t xml:space="preserve">new students at Pohnpei campus. Earning 12 or more credits is a good </w:t>
      </w:r>
      <w:r w:rsidR="00BD5299">
        <w:rPr>
          <w:rFonts w:ascii="Times New Roman" w:hAnsi="Times New Roman" w:cs="Times New Roman"/>
          <w:sz w:val="24"/>
          <w:szCs w:val="24"/>
        </w:rPr>
        <w:t>indicator</w:t>
      </w:r>
      <w:r w:rsidR="00D03BBB">
        <w:rPr>
          <w:rFonts w:ascii="Times New Roman" w:hAnsi="Times New Roman" w:cs="Times New Roman"/>
          <w:sz w:val="24"/>
          <w:szCs w:val="24"/>
        </w:rPr>
        <w:t xml:space="preserve"> if students are making progress toward obtaining a degree in the 150% of time established by new PELL grant eligibility requirements. </w:t>
      </w:r>
    </w:p>
    <w:p w:rsidR="00572B0B" w:rsidRDefault="00572B0B" w:rsidP="00FF7948">
      <w:pPr>
        <w:pStyle w:val="NoSpacing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72B0B" w:rsidTr="00F47257">
        <w:tc>
          <w:tcPr>
            <w:tcW w:w="4788" w:type="dxa"/>
          </w:tcPr>
          <w:p w:rsidR="00572B0B" w:rsidRDefault="0046287E">
            <w:r>
              <w:rPr>
                <w:noProof/>
              </w:rPr>
              <w:drawing>
                <wp:inline distT="0" distB="0" distL="0" distR="0" wp14:anchorId="1CCF7743" wp14:editId="5E1F197C">
                  <wp:extent cx="2836264" cy="1773936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264" cy="17739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572B0B" w:rsidRDefault="0046287E">
            <w:r>
              <w:rPr>
                <w:noProof/>
              </w:rPr>
              <w:drawing>
                <wp:inline distT="0" distB="0" distL="0" distR="0" wp14:anchorId="6A218336" wp14:editId="22B38E4D">
                  <wp:extent cx="2834640" cy="1801368"/>
                  <wp:effectExtent l="0" t="0" r="3810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18013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2B0B" w:rsidRDefault="00572B0B" w:rsidP="00D03BBB">
      <w:pPr>
        <w:pStyle w:val="NoSpacing"/>
      </w:pPr>
    </w:p>
    <w:p w:rsidR="00D03BBB" w:rsidRPr="00D03BBB" w:rsidRDefault="00D03BBB" w:rsidP="00D03B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192 students graduated in spring 2012 with Pohnpeians representing 58% of the total graduates.  The breakdown by degree type was 64 for associate of arts degrees, 60 for associate of science degrees, 9 associate of applied science degrees, 31 certificates, </w:t>
      </w:r>
      <w:r w:rsidR="00BD5299">
        <w:rPr>
          <w:rFonts w:ascii="Times New Roman" w:hAnsi="Times New Roman" w:cs="Times New Roman"/>
          <w:sz w:val="24"/>
          <w:szCs w:val="24"/>
        </w:rPr>
        <w:t>and 27</w:t>
      </w:r>
      <w:r>
        <w:rPr>
          <w:rFonts w:ascii="Times New Roman" w:hAnsi="Times New Roman" w:cs="Times New Roman"/>
          <w:sz w:val="24"/>
          <w:szCs w:val="24"/>
        </w:rPr>
        <w:t xml:space="preserve"> third year certificates</w:t>
      </w:r>
      <w:r w:rsidR="00BD5299">
        <w:rPr>
          <w:rFonts w:ascii="Times New Roman" w:hAnsi="Times New Roman" w:cs="Times New Roman"/>
          <w:sz w:val="24"/>
          <w:szCs w:val="24"/>
        </w:rPr>
        <w:t>.  A</w:t>
      </w:r>
      <w:r>
        <w:rPr>
          <w:rFonts w:ascii="Times New Roman" w:hAnsi="Times New Roman" w:cs="Times New Roman"/>
          <w:sz w:val="24"/>
          <w:szCs w:val="24"/>
        </w:rPr>
        <w:t xml:space="preserve">dditional </w:t>
      </w:r>
      <w:r w:rsidR="00BD5299">
        <w:rPr>
          <w:rFonts w:ascii="Times New Roman" w:hAnsi="Times New Roman" w:cs="Times New Roman"/>
          <w:sz w:val="24"/>
          <w:szCs w:val="24"/>
        </w:rPr>
        <w:t xml:space="preserve">there were </w:t>
      </w:r>
      <w:r>
        <w:rPr>
          <w:rFonts w:ascii="Times New Roman" w:hAnsi="Times New Roman" w:cs="Times New Roman"/>
          <w:sz w:val="24"/>
          <w:szCs w:val="24"/>
        </w:rPr>
        <w:t>2 graduates of the Bachelor of Arts in Elementary Education the college offers in partnership with the University of Guam.</w:t>
      </w:r>
    </w:p>
    <w:p w:rsidR="0046287E" w:rsidRDefault="0046287E" w:rsidP="00D03BBB">
      <w:pPr>
        <w:pStyle w:val="NoSpacing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6287E" w:rsidTr="00F47257">
        <w:tc>
          <w:tcPr>
            <w:tcW w:w="4788" w:type="dxa"/>
          </w:tcPr>
          <w:p w:rsidR="0046287E" w:rsidRDefault="0046287E">
            <w:r>
              <w:rPr>
                <w:noProof/>
              </w:rPr>
              <w:drawing>
                <wp:inline distT="0" distB="0" distL="0" distR="0" wp14:anchorId="57299BE6" wp14:editId="724EA051">
                  <wp:extent cx="2834640" cy="1709928"/>
                  <wp:effectExtent l="0" t="0" r="381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17099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46287E" w:rsidRDefault="0046287E">
            <w:r>
              <w:rPr>
                <w:noProof/>
              </w:rPr>
              <w:drawing>
                <wp:inline distT="0" distB="0" distL="0" distR="0" wp14:anchorId="4D69347E" wp14:editId="580FA35C">
                  <wp:extent cx="2834640" cy="1700784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1700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3BBB" w:rsidRPr="003B2003" w:rsidRDefault="00D03BBB" w:rsidP="00D03B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For additional information, please contact the office of Institutional Research and Planning at </w:t>
      </w:r>
      <w:hyperlink r:id="rId15" w:history="1">
        <w:r w:rsidRPr="00C055F6">
          <w:rPr>
            <w:rStyle w:val="Hyperlink"/>
            <w:rFonts w:ascii="Times New Roman" w:hAnsi="Times New Roman" w:cs="Times New Roman"/>
            <w:sz w:val="24"/>
            <w:szCs w:val="24"/>
          </w:rPr>
          <w:t>rschplanning@comfsm.fm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visit their website </w:t>
      </w:r>
      <w:hyperlink r:id="rId16" w:history="1">
        <w:r w:rsidRPr="00C055F6">
          <w:rPr>
            <w:rStyle w:val="Hyperlink"/>
            <w:rFonts w:ascii="Times New Roman" w:hAnsi="Times New Roman" w:cs="Times New Roman"/>
            <w:sz w:val="24"/>
            <w:szCs w:val="24"/>
          </w:rPr>
          <w:t>http://www.comfsm.fm/irpo/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287E" w:rsidRDefault="0046287E"/>
    <w:p w:rsidR="0046287E" w:rsidRDefault="0046287E"/>
    <w:sectPr w:rsidR="00462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0B"/>
    <w:rsid w:val="0018256C"/>
    <w:rsid w:val="00415B3F"/>
    <w:rsid w:val="0046287E"/>
    <w:rsid w:val="00572B0B"/>
    <w:rsid w:val="006641CD"/>
    <w:rsid w:val="006D7BA4"/>
    <w:rsid w:val="007C20A1"/>
    <w:rsid w:val="00BB2C03"/>
    <w:rsid w:val="00BD5299"/>
    <w:rsid w:val="00C22FB7"/>
    <w:rsid w:val="00D03BBB"/>
    <w:rsid w:val="00D5027F"/>
    <w:rsid w:val="00F47257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B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28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3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B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287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3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omfsm.fm/irpo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rschplanning@comfsm.fm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 Hicks</dc:creator>
  <cp:lastModifiedBy>Jimmy Hicks</cp:lastModifiedBy>
  <cp:revision>10</cp:revision>
  <cp:lastPrinted>2012-07-13T04:53:00Z</cp:lastPrinted>
  <dcterms:created xsi:type="dcterms:W3CDTF">2012-07-13T03:52:00Z</dcterms:created>
  <dcterms:modified xsi:type="dcterms:W3CDTF">2012-08-14T22:23:00Z</dcterms:modified>
</cp:coreProperties>
</file>